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6C6" w:rsidRPr="00C36AB6" w:rsidRDefault="00C36AB6" w:rsidP="00C36AB6">
      <w:pPr>
        <w:pStyle w:val="NoSpacing"/>
        <w:rPr>
          <w:sz w:val="24"/>
          <w:szCs w:val="24"/>
        </w:rPr>
      </w:pPr>
      <w:r w:rsidRPr="00C36AB6">
        <w:rPr>
          <w:sz w:val="24"/>
          <w:szCs w:val="24"/>
        </w:rPr>
        <w:t>Update of Nitrogen Concentrations in</w:t>
      </w:r>
      <w:r w:rsidRPr="00C36AB6">
        <w:rPr>
          <w:sz w:val="24"/>
          <w:szCs w:val="24"/>
        </w:rPr>
        <w:tab/>
      </w:r>
      <w:r w:rsidRPr="00C36AB6">
        <w:rPr>
          <w:sz w:val="24"/>
          <w:szCs w:val="24"/>
        </w:rPr>
        <w:tab/>
      </w:r>
      <w:r w:rsidRPr="00C36AB6">
        <w:rPr>
          <w:sz w:val="24"/>
          <w:szCs w:val="24"/>
        </w:rPr>
        <w:tab/>
      </w:r>
      <w:r w:rsidRPr="00C36AB6">
        <w:rPr>
          <w:sz w:val="24"/>
          <w:szCs w:val="24"/>
        </w:rPr>
        <w:tab/>
      </w:r>
      <w:r w:rsidRPr="00C36AB6">
        <w:rPr>
          <w:sz w:val="24"/>
          <w:szCs w:val="24"/>
        </w:rPr>
        <w:tab/>
        <w:t xml:space="preserve">Douglas E. Barr </w:t>
      </w:r>
    </w:p>
    <w:p w:rsidR="00C36AB6" w:rsidRPr="00C36AB6" w:rsidRDefault="00C36AB6" w:rsidP="00C36AB6">
      <w:pPr>
        <w:pStyle w:val="NoSpacing"/>
        <w:rPr>
          <w:sz w:val="24"/>
          <w:szCs w:val="24"/>
        </w:rPr>
      </w:pPr>
      <w:r w:rsidRPr="00C36AB6">
        <w:rPr>
          <w:sz w:val="24"/>
          <w:szCs w:val="24"/>
        </w:rPr>
        <w:t>Discharge from the Main Vent of Wakulla Springs.</w:t>
      </w:r>
      <w:r w:rsidRPr="00C36AB6">
        <w:rPr>
          <w:sz w:val="24"/>
          <w:szCs w:val="24"/>
        </w:rPr>
        <w:tab/>
      </w:r>
      <w:r w:rsidRPr="00C36AB6">
        <w:rPr>
          <w:sz w:val="24"/>
          <w:szCs w:val="24"/>
        </w:rPr>
        <w:tab/>
      </w:r>
      <w:r w:rsidRPr="00C36AB6">
        <w:rPr>
          <w:sz w:val="24"/>
          <w:szCs w:val="24"/>
        </w:rPr>
        <w:tab/>
      </w:r>
      <w:r w:rsidRPr="00C36AB6">
        <w:rPr>
          <w:sz w:val="24"/>
          <w:szCs w:val="24"/>
        </w:rPr>
        <w:tab/>
        <w:t>0</w:t>
      </w:r>
      <w:r w:rsidR="00AA539F">
        <w:rPr>
          <w:sz w:val="24"/>
          <w:szCs w:val="24"/>
        </w:rPr>
        <w:t>7</w:t>
      </w:r>
      <w:r w:rsidRPr="00C36AB6">
        <w:rPr>
          <w:sz w:val="24"/>
          <w:szCs w:val="24"/>
        </w:rPr>
        <w:t>/0</w:t>
      </w:r>
      <w:r w:rsidR="00AA539F">
        <w:rPr>
          <w:sz w:val="24"/>
          <w:szCs w:val="24"/>
        </w:rPr>
        <w:t>2</w:t>
      </w:r>
      <w:r w:rsidRPr="00C36AB6">
        <w:rPr>
          <w:sz w:val="24"/>
          <w:szCs w:val="24"/>
        </w:rPr>
        <w:t>/2020</w:t>
      </w:r>
    </w:p>
    <w:p w:rsidR="00C36AB6" w:rsidRDefault="00C36AB6" w:rsidP="00C36AB6">
      <w:pPr>
        <w:pStyle w:val="NoSpacing"/>
      </w:pPr>
    </w:p>
    <w:p w:rsidR="00C36AB6" w:rsidRDefault="00C36AB6" w:rsidP="00C36AB6">
      <w:pPr>
        <w:pStyle w:val="NoSpacing"/>
      </w:pPr>
    </w:p>
    <w:p w:rsidR="00DB3527" w:rsidRDefault="00C36AB6" w:rsidP="00C36AB6">
      <w:pPr>
        <w:pStyle w:val="NoSpacing"/>
      </w:pPr>
      <w:r>
        <w:t xml:space="preserve">Below are updated plots of nitrogen concentrations in discharge from the main vent of Wakulla Springs.  These were last updated in </w:t>
      </w:r>
      <w:r w:rsidR="003858D8">
        <w:t>mid-</w:t>
      </w:r>
      <w:r>
        <w:t xml:space="preserve">2018.  The plots </w:t>
      </w:r>
      <w:r w:rsidR="003858D8">
        <w:t xml:space="preserve">include </w:t>
      </w:r>
      <w:r>
        <w:t>the instantaneous concentrations (individual samples)</w:t>
      </w:r>
      <w:r w:rsidR="00D53FFD">
        <w:t xml:space="preserve">, </w:t>
      </w:r>
      <w:r>
        <w:t>the mean annual concentrations</w:t>
      </w:r>
      <w:r w:rsidR="00D53FFD">
        <w:t xml:space="preserve"> and the min/max yearly concentrations.</w:t>
      </w:r>
    </w:p>
    <w:p w:rsidR="00DB3527" w:rsidRDefault="00DB3527" w:rsidP="00C36AB6">
      <w:pPr>
        <w:pStyle w:val="NoSpacing"/>
      </w:pPr>
    </w:p>
    <w:p w:rsidR="00BB117E" w:rsidRDefault="0067151D" w:rsidP="00C36AB6">
      <w:pPr>
        <w:pStyle w:val="NoSpacing"/>
      </w:pPr>
      <w:r>
        <w:t xml:space="preserve">The mean annual N concentrations are illustrated on Figure </w:t>
      </w:r>
      <w:r w:rsidR="00E2292D">
        <w:t xml:space="preserve">1 </w:t>
      </w:r>
      <w:r w:rsidR="00491C59">
        <w:t xml:space="preserve">below </w:t>
      </w:r>
      <w:r>
        <w:t>for the period 200</w:t>
      </w:r>
      <w:r w:rsidR="00084A18">
        <w:t>0</w:t>
      </w:r>
      <w:r>
        <w:t xml:space="preserve">-2019.  </w:t>
      </w:r>
      <w:r w:rsidR="00084A18">
        <w:t>For the earliest years</w:t>
      </w:r>
      <w:r w:rsidR="001C3BC6">
        <w:t xml:space="preserve">, </w:t>
      </w:r>
      <w:r w:rsidR="00084A18">
        <w:t xml:space="preserve">data </w:t>
      </w:r>
      <w:r w:rsidR="001C3BC6">
        <w:t xml:space="preserve">is limited. </w:t>
      </w:r>
      <w:r w:rsidR="00D53FFD">
        <w:t xml:space="preserve"> In </w:t>
      </w:r>
      <w:r w:rsidR="00084A18">
        <w:t xml:space="preserve">2001 only two months </w:t>
      </w:r>
      <w:r w:rsidR="00D53FFD">
        <w:t xml:space="preserve">were </w:t>
      </w:r>
      <w:r w:rsidR="00084A18">
        <w:t xml:space="preserve">sampled </w:t>
      </w:r>
      <w:r w:rsidR="001C3BC6">
        <w:t xml:space="preserve">while in </w:t>
      </w:r>
      <w:r w:rsidR="00AA539F">
        <w:t>2002</w:t>
      </w:r>
      <w:r w:rsidR="00084A18">
        <w:t xml:space="preserve"> </w:t>
      </w:r>
      <w:r w:rsidR="00D53FFD">
        <w:t xml:space="preserve">only </w:t>
      </w:r>
      <w:r w:rsidR="00084A18">
        <w:t xml:space="preserve">4 months were sampled.  </w:t>
      </w:r>
      <w:r w:rsidR="00D53FFD">
        <w:t xml:space="preserve">Sampling was more frequent in 2000 with 8 monthly samples.  </w:t>
      </w:r>
      <w:r w:rsidR="00BB117E">
        <w:t>It should be noted that the concentration spike in 2001 is based on only two samples and may not be representative of the entire year.</w:t>
      </w:r>
      <w:r w:rsidR="001C3BC6" w:rsidRPr="001C3BC6">
        <w:t xml:space="preserve"> </w:t>
      </w:r>
      <w:r w:rsidR="001C3BC6">
        <w:t xml:space="preserve"> </w:t>
      </w:r>
      <w:r w:rsidR="001C3BC6" w:rsidRPr="001C3BC6">
        <w:t xml:space="preserve">After 2002, 7-12 samples were obtained each year.  </w:t>
      </w:r>
    </w:p>
    <w:p w:rsidR="00BB117E" w:rsidRDefault="00BB117E" w:rsidP="00C36AB6">
      <w:pPr>
        <w:pStyle w:val="NoSpacing"/>
      </w:pPr>
    </w:p>
    <w:p w:rsidR="0067151D" w:rsidRDefault="00A30E00" w:rsidP="00C36AB6">
      <w:pPr>
        <w:pStyle w:val="NoSpacing"/>
      </w:pPr>
      <w:r>
        <w:t xml:space="preserve">In 2003 the mean annual concentration </w:t>
      </w:r>
      <w:r w:rsidR="00E2292D">
        <w:t xml:space="preserve">had declined to </w:t>
      </w:r>
      <w:r>
        <w:t>0.72 mg/L</w:t>
      </w:r>
      <w:r w:rsidR="00074D84">
        <w:t>.</w:t>
      </w:r>
      <w:r w:rsidR="00E2292D">
        <w:t xml:space="preserve">  The mean </w:t>
      </w:r>
      <w:r>
        <w:t xml:space="preserve">concentration </w:t>
      </w:r>
      <w:r w:rsidR="00E2292D">
        <w:t xml:space="preserve">further declined to </w:t>
      </w:r>
      <w:r>
        <w:t>of 0.67</w:t>
      </w:r>
      <w:r w:rsidR="00E2292D">
        <w:t xml:space="preserve"> </w:t>
      </w:r>
      <w:r>
        <w:t>and 0.66</w:t>
      </w:r>
      <w:r w:rsidR="00E2292D">
        <w:t xml:space="preserve"> mg/L i</w:t>
      </w:r>
      <w:r>
        <w:t xml:space="preserve">n 2004 and 2005, respectively.    The concentration </w:t>
      </w:r>
      <w:r w:rsidR="00B9761A">
        <w:t xml:space="preserve">then reached </w:t>
      </w:r>
      <w:r>
        <w:t xml:space="preserve">0.6 mg/l in 2006 and remained at approximately this same concentration </w:t>
      </w:r>
      <w:r w:rsidR="00D77F97">
        <w:t xml:space="preserve">(+/- 0.01 mg/L) through 2010. </w:t>
      </w:r>
      <w:r w:rsidR="00074D84">
        <w:t xml:space="preserve"> </w:t>
      </w:r>
      <w:r w:rsidR="00A860F9">
        <w:t>The only project that I’m aware of at this time was the restoration of the Lake Henr</w:t>
      </w:r>
      <w:r w:rsidR="00FA7039">
        <w:t>i</w:t>
      </w:r>
      <w:r w:rsidR="00A860F9">
        <w:t xml:space="preserve">etta </w:t>
      </w:r>
      <w:r w:rsidR="00FA7039">
        <w:t xml:space="preserve">stormwater treatment facility and excavation of sediments from Lake Munson near the Munson Slough discharge.  </w:t>
      </w:r>
      <w:r w:rsidR="00A25FD0">
        <w:t>Unfortunately, t</w:t>
      </w:r>
      <w:r w:rsidR="00FA7039">
        <w:t>here is not sufficient data</w:t>
      </w:r>
      <w:r w:rsidR="00A25FD0">
        <w:t xml:space="preserve"> </w:t>
      </w:r>
      <w:r w:rsidR="00FA7039">
        <w:t xml:space="preserve">to evaluate any resulting reduction of nitrogen concentrations in Wakulla Spring.   </w:t>
      </w:r>
      <w:r w:rsidR="00A860F9">
        <w:t xml:space="preserve"> </w:t>
      </w:r>
      <w:r w:rsidR="00074D84">
        <w:t xml:space="preserve"> </w:t>
      </w:r>
      <w:r>
        <w:t xml:space="preserve">  </w:t>
      </w:r>
    </w:p>
    <w:p w:rsidR="00C36AB6" w:rsidRDefault="003858D8" w:rsidP="00C36AB6">
      <w:pPr>
        <w:pStyle w:val="NoSpacing"/>
      </w:pPr>
      <w:r>
        <w:t xml:space="preserve">  </w:t>
      </w:r>
      <w:r w:rsidR="00C36AB6">
        <w:t xml:space="preserve">  </w:t>
      </w:r>
      <w:r>
        <w:t xml:space="preserve">   </w:t>
      </w:r>
      <w:r w:rsidR="00C36AB6">
        <w:t xml:space="preserve">  </w:t>
      </w:r>
    </w:p>
    <w:p w:rsidR="00C36AB6" w:rsidRDefault="00491C59" w:rsidP="00C36AB6">
      <w:pPr>
        <w:pStyle w:val="NoSpacing"/>
      </w:pPr>
      <w:r>
        <w:rPr>
          <w:noProof/>
        </w:rPr>
        <w:drawing>
          <wp:inline distT="0" distB="0" distL="0" distR="0" wp14:anchorId="21CA1D66" wp14:editId="7ECFF9EF">
            <wp:extent cx="5943600" cy="2632075"/>
            <wp:effectExtent l="0" t="0" r="1905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44FD8" w:rsidRDefault="00F44FD8" w:rsidP="00C36AB6">
      <w:pPr>
        <w:pStyle w:val="NoSpacing"/>
      </w:pPr>
    </w:p>
    <w:p w:rsidR="00C20AF8" w:rsidRDefault="00F44FD8" w:rsidP="00C36AB6">
      <w:pPr>
        <w:pStyle w:val="NoSpacing"/>
      </w:pPr>
      <w:r>
        <w:t xml:space="preserve">Beginning in 2011 and continuing through 2014, </w:t>
      </w:r>
      <w:r w:rsidR="00A25FD0">
        <w:t xml:space="preserve">average annual </w:t>
      </w:r>
      <w:r>
        <w:t xml:space="preserve">N concentrations in the spring discharge declined in </w:t>
      </w:r>
      <w:r w:rsidR="00DA5DD1">
        <w:t>an approximately linear m</w:t>
      </w:r>
      <w:r>
        <w:t xml:space="preserve">anner from 0.6 to </w:t>
      </w:r>
      <w:r w:rsidR="00DA5DD1">
        <w:t>0.4 mg/L.  This period coincided with the planned decrease in N concentrations of treated wastewater effluent discharged to spray fields</w:t>
      </w:r>
      <w:r w:rsidR="00074D84">
        <w:t xml:space="preserve">.  This occurred in a </w:t>
      </w:r>
      <w:r w:rsidR="00DA5DD1">
        <w:t>stepwise fashion to less than 12 mg/L, less than 9.0 mg/L</w:t>
      </w:r>
      <w:r w:rsidR="00A23F81">
        <w:t xml:space="preserve"> in 2011</w:t>
      </w:r>
      <w:r w:rsidR="00DA5DD1">
        <w:t xml:space="preserve">, less than 6.5 mg/L </w:t>
      </w:r>
      <w:r w:rsidR="00A23F81">
        <w:t>in 2013 a</w:t>
      </w:r>
      <w:r w:rsidR="00DA5DD1">
        <w:t>nd finally to 3.0 mg/L or less in 2014.</w:t>
      </w:r>
      <w:r w:rsidR="00A23F81">
        <w:t xml:space="preserve">  </w:t>
      </w:r>
      <w:r w:rsidR="00AD03F7">
        <w:t xml:space="preserve">The decline </w:t>
      </w:r>
      <w:r w:rsidR="00A25FD0">
        <w:t xml:space="preserve">of </w:t>
      </w:r>
      <w:r w:rsidR="00AD03F7">
        <w:t xml:space="preserve">N concentrations in the wastewater effluent resulted in a direct </w:t>
      </w:r>
      <w:r w:rsidR="006C13D6">
        <w:t xml:space="preserve">transient </w:t>
      </w:r>
      <w:r w:rsidR="00AD03F7">
        <w:t>decline in the N levels of the spring discharge.  This resulted from the high transport velocities of the limestones of the Florida Aquifer between the effluent spray fields and the spring</w:t>
      </w:r>
      <w:r w:rsidR="003C1A4E">
        <w:t xml:space="preserve">.  </w:t>
      </w:r>
      <w:r w:rsidR="006C13D6">
        <w:t>These are characteristic of large areas of the Wakulla Springs Basin</w:t>
      </w:r>
      <w:r w:rsidR="00A25FD0">
        <w:t xml:space="preserve"> north of the spring</w:t>
      </w:r>
      <w:r w:rsidR="006C13D6">
        <w:t xml:space="preserve">.  </w:t>
      </w:r>
      <w:r w:rsidR="003C1A4E">
        <w:lastRenderedPageBreak/>
        <w:t xml:space="preserve">For example, </w:t>
      </w:r>
      <w:r w:rsidR="002D5556">
        <w:t xml:space="preserve">when </w:t>
      </w:r>
      <w:r w:rsidR="00A03C4F">
        <w:t xml:space="preserve">the </w:t>
      </w:r>
      <w:r w:rsidR="003C1A4E">
        <w:t xml:space="preserve">WW </w:t>
      </w:r>
      <w:r w:rsidR="002D5556">
        <w:t>plant reached the design level of N reduction</w:t>
      </w:r>
      <w:r w:rsidR="00A03C4F">
        <w:t xml:space="preserve"> (≤ 3.0 mg/L) </w:t>
      </w:r>
      <w:r w:rsidR="002D5556">
        <w:t>in 2014</w:t>
      </w:r>
      <w:r w:rsidR="00A03C4F">
        <w:t xml:space="preserve">, </w:t>
      </w:r>
      <w:r w:rsidR="002D5556">
        <w:t xml:space="preserve">the mean annual nitrogen </w:t>
      </w:r>
      <w:r w:rsidR="00A03C4F">
        <w:t xml:space="preserve">stabilized and has remained at </w:t>
      </w:r>
      <w:r w:rsidR="00A25FD0">
        <w:t>0</w:t>
      </w:r>
      <w:r w:rsidR="002D5556">
        <w:t xml:space="preserve">.40 </w:t>
      </w:r>
      <w:r w:rsidR="00A25FD0">
        <w:t xml:space="preserve">to </w:t>
      </w:r>
      <w:r w:rsidR="002D5556">
        <w:t>0.42 mg/L</w:t>
      </w:r>
      <w:r w:rsidR="00A03C4F">
        <w:t xml:space="preserve"> f</w:t>
      </w:r>
      <w:r w:rsidR="00A25FD0">
        <w:t xml:space="preserve">rom </w:t>
      </w:r>
      <w:r w:rsidR="003C1A4E">
        <w:t xml:space="preserve">2014 </w:t>
      </w:r>
      <w:r w:rsidR="00A25FD0">
        <w:t>through</w:t>
      </w:r>
      <w:r w:rsidR="003C1A4E">
        <w:t xml:space="preserve"> </w:t>
      </w:r>
      <w:r w:rsidR="00A03C4F">
        <w:t>2019.</w:t>
      </w:r>
    </w:p>
    <w:p w:rsidR="0087779B" w:rsidRDefault="0087779B" w:rsidP="00C36AB6">
      <w:pPr>
        <w:pStyle w:val="NoSpacing"/>
      </w:pPr>
    </w:p>
    <w:p w:rsidR="00F44FD8" w:rsidRDefault="0087779B" w:rsidP="00C36AB6">
      <w:pPr>
        <w:pStyle w:val="NoSpacing"/>
      </w:pPr>
      <w:r>
        <w:t xml:space="preserve">Figure 2 illustrates the N concentrations measured in individual samples collected from </w:t>
      </w:r>
      <w:r w:rsidR="00722C9F">
        <w:t>the s</w:t>
      </w:r>
      <w:r w:rsidR="00836150">
        <w:t>pring from 2002 through March 2020.</w:t>
      </w:r>
      <w:r w:rsidR="00D402EF">
        <w:t xml:space="preserve">  Of particular interest </w:t>
      </w:r>
      <w:r w:rsidR="00722C9F">
        <w:t>are</w:t>
      </w:r>
      <w:r w:rsidR="00D402EF">
        <w:t xml:space="preserve"> the </w:t>
      </w:r>
      <w:r w:rsidR="00722C9F">
        <w:t xml:space="preserve">noticeable decline </w:t>
      </w:r>
      <w:r w:rsidR="00D402EF">
        <w:t xml:space="preserve">in the </w:t>
      </w:r>
      <w:r w:rsidR="00722C9F">
        <w:t xml:space="preserve">peak annual </w:t>
      </w:r>
      <w:r w:rsidR="00796C63">
        <w:t xml:space="preserve">nitrogen concentration beginning </w:t>
      </w:r>
      <w:r w:rsidR="007873E1">
        <w:t xml:space="preserve">in </w:t>
      </w:r>
      <w:r w:rsidR="00D402EF">
        <w:t>201</w:t>
      </w:r>
      <w:r w:rsidR="00722C9F">
        <w:t>2</w:t>
      </w:r>
      <w:r w:rsidR="00D402EF">
        <w:t xml:space="preserve"> </w:t>
      </w:r>
      <w:r w:rsidR="00722C9F">
        <w:t xml:space="preserve">and </w:t>
      </w:r>
      <w:r w:rsidR="00796C63">
        <w:t xml:space="preserve">the </w:t>
      </w:r>
      <w:r w:rsidR="00722C9F">
        <w:t xml:space="preserve">more general reduction in intra-annual variation </w:t>
      </w:r>
      <w:r w:rsidR="00796C63">
        <w:t>beginning in 201</w:t>
      </w:r>
      <w:r w:rsidR="00722C9F">
        <w:t>3</w:t>
      </w:r>
      <w:r w:rsidR="00796C63">
        <w:t xml:space="preserve">. </w:t>
      </w:r>
      <w:r w:rsidR="00D402EF">
        <w:t xml:space="preserve"> </w:t>
      </w:r>
      <w:r w:rsidR="00836150">
        <w:t xml:space="preserve">  </w:t>
      </w:r>
      <w:r>
        <w:t xml:space="preserve">  </w:t>
      </w:r>
    </w:p>
    <w:p w:rsidR="00836150" w:rsidRDefault="00836150" w:rsidP="00C36AB6">
      <w:pPr>
        <w:pStyle w:val="NoSpacing"/>
      </w:pPr>
    </w:p>
    <w:p w:rsidR="00836150" w:rsidRDefault="00836150" w:rsidP="00C36AB6">
      <w:pPr>
        <w:pStyle w:val="NoSpacing"/>
      </w:pPr>
      <w:r>
        <w:rPr>
          <w:noProof/>
        </w:rPr>
        <w:drawing>
          <wp:inline distT="0" distB="0" distL="0" distR="0" wp14:anchorId="440AC240" wp14:editId="3EBDBA24">
            <wp:extent cx="5943600" cy="2602230"/>
            <wp:effectExtent l="0" t="0" r="19050" b="266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10E5B" w:rsidRDefault="00110E5B" w:rsidP="00C36AB6">
      <w:pPr>
        <w:pStyle w:val="NoSpacing"/>
      </w:pPr>
    </w:p>
    <w:p w:rsidR="00796C63" w:rsidRDefault="00CC7F8B" w:rsidP="00C36AB6">
      <w:pPr>
        <w:pStyle w:val="NoSpacing"/>
      </w:pPr>
      <w:r>
        <w:t xml:space="preserve">Figure 3 plots the maximum and minimum N concentration of the spring discharge from 2002 through 2019.  </w:t>
      </w:r>
      <w:r w:rsidR="00AA78C3">
        <w:t xml:space="preserve">The greatest decline in the intra-annual N concentration occurred in 2014 when the min and max concentrations differed by 0.17 mg/L.  Since then (2014-1019), the yearly variation of the N concentrations has been only 0.15 to 0.17 mg/L.  </w:t>
      </w:r>
    </w:p>
    <w:p w:rsidR="00A25FD0" w:rsidRDefault="00A25FD0" w:rsidP="00C36AB6">
      <w:pPr>
        <w:pStyle w:val="NoSpacing"/>
      </w:pPr>
    </w:p>
    <w:p w:rsidR="00110E5B" w:rsidRDefault="00796C63" w:rsidP="00C36AB6">
      <w:pPr>
        <w:pStyle w:val="NoSpacing"/>
      </w:pPr>
      <w:r>
        <w:rPr>
          <w:noProof/>
        </w:rPr>
        <w:drawing>
          <wp:inline distT="0" distB="0" distL="0" distR="0" wp14:anchorId="0621DA6B" wp14:editId="396B3BE0">
            <wp:extent cx="5943600" cy="2760345"/>
            <wp:effectExtent l="0" t="0" r="19050" b="209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10E5B">
        <w:t xml:space="preserve"> </w:t>
      </w:r>
    </w:p>
    <w:p w:rsidR="00C60085" w:rsidRDefault="00777B07" w:rsidP="00777B07">
      <w:pPr>
        <w:pStyle w:val="NoSpacing"/>
      </w:pPr>
      <w:r>
        <w:lastRenderedPageBreak/>
        <w:t>In addition, the greatest decline in the minimum annual N level occurred in 2012 when the minimum concentration was 0.36 mg/L in comparison to a minimum of 0.45 mg/L in 2011</w:t>
      </w:r>
      <w:r w:rsidR="00B93AFA">
        <w:t>.  In contrast, the greatest decline in the maximum concentration occurred in 2014 when the annual max</w:t>
      </w:r>
      <w:r w:rsidR="004E4ACB">
        <w:t xml:space="preserve">imum </w:t>
      </w:r>
      <w:r w:rsidR="00B93AFA">
        <w:t>was 0.5 mg/L in comparison to 0.63 mg/L in 2013.</w:t>
      </w:r>
    </w:p>
    <w:p w:rsidR="00C60085" w:rsidRDefault="00C60085" w:rsidP="00777B07">
      <w:pPr>
        <w:pStyle w:val="NoSpacing"/>
      </w:pPr>
    </w:p>
    <w:p w:rsidR="0093229F" w:rsidRDefault="00C60085" w:rsidP="00C36AB6">
      <w:pPr>
        <w:pStyle w:val="NoSpacing"/>
      </w:pPr>
      <w:r>
        <w:t xml:space="preserve">Over the short </w:t>
      </w:r>
      <w:r w:rsidR="008163F5">
        <w:t xml:space="preserve">period </w:t>
      </w:r>
      <w:r>
        <w:t xml:space="preserve">from 2012 to 2014, </w:t>
      </w:r>
      <w:r w:rsidR="003D4BEF">
        <w:t xml:space="preserve">significant </w:t>
      </w:r>
      <w:r w:rsidR="008163F5">
        <w:t xml:space="preserve">declines in the both the maximum and minimum nitrogen concentrations occurred in the discharge of Wakulla Springs to Wakulla River.  </w:t>
      </w:r>
      <w:r w:rsidR="004243C3">
        <w:t xml:space="preserve">The minimum intra-annual concentration declined </w:t>
      </w:r>
      <w:r w:rsidR="00DC07FB">
        <w:t>by the greatest amount (</w:t>
      </w:r>
      <w:r w:rsidR="004243C3">
        <w:t>0.45 mg/L to 0.38 mg/L</w:t>
      </w:r>
      <w:r w:rsidR="00DC07FB">
        <w:t>)</w:t>
      </w:r>
      <w:r w:rsidR="004243C3">
        <w:t xml:space="preserve"> over the two year period from 2011 to 2012.  Subsequently, minimum concentrations have remained at or below this level.  </w:t>
      </w:r>
      <w:r w:rsidR="00DC07FB">
        <w:t>Maximum annual concentrations declined by the greatest amount (0.63 mg/L to 0.50 mg/L) over the two year period from 2013 to 2014.  Ove</w:t>
      </w:r>
      <w:r w:rsidR="004E4ACB">
        <w:t>r</w:t>
      </w:r>
      <w:r w:rsidR="00DC07FB">
        <w:t xml:space="preserve"> the last six years, therefore, the average annual nitrogen concentration </w:t>
      </w:r>
      <w:r w:rsidR="004E4ACB">
        <w:t xml:space="preserve">has </w:t>
      </w:r>
      <w:r w:rsidR="00DC07FB">
        <w:t xml:space="preserve">ranged </w:t>
      </w:r>
      <w:r w:rsidR="004E4ACB">
        <w:t xml:space="preserve">from </w:t>
      </w:r>
      <w:r w:rsidR="00DC07FB">
        <w:t>0.40 to 0.42 mg/L</w:t>
      </w:r>
      <w:r w:rsidR="003D4BEF">
        <w:t xml:space="preserve"> with annual variation</w:t>
      </w:r>
      <w:r w:rsidR="0093229F">
        <w:t>s</w:t>
      </w:r>
      <w:r w:rsidR="003D4BEF">
        <w:t xml:space="preserve"> of </w:t>
      </w:r>
      <w:r w:rsidR="00DF5B5F">
        <w:t xml:space="preserve">+/- </w:t>
      </w:r>
      <w:r w:rsidR="003D4BEF">
        <w:t>0.15 to 0.17 mg/L</w:t>
      </w:r>
      <w:r w:rsidR="0093229F">
        <w:t>.</w:t>
      </w:r>
    </w:p>
    <w:p w:rsidR="00DF5B5F" w:rsidRDefault="00DF5B5F" w:rsidP="00C36AB6">
      <w:pPr>
        <w:pStyle w:val="NoSpacing"/>
      </w:pPr>
    </w:p>
    <w:p w:rsidR="004E1AFF" w:rsidRDefault="00DF5B5F" w:rsidP="00DA21AA">
      <w:pPr>
        <w:pStyle w:val="NoSpacing"/>
      </w:pPr>
      <w:r>
        <w:t xml:space="preserve">The minimum nitrogen concentration has </w:t>
      </w:r>
      <w:r w:rsidR="0013205B">
        <w:t xml:space="preserve">been reached for current N removal </w:t>
      </w:r>
      <w:r w:rsidR="00847FD6">
        <w:t>level</w:t>
      </w:r>
      <w:r w:rsidR="00BE453C">
        <w:t>s</w:t>
      </w:r>
      <w:r w:rsidR="00847FD6">
        <w:t xml:space="preserve"> </w:t>
      </w:r>
      <w:r w:rsidR="0013205B">
        <w:t>at the wastewater treatment plant</w:t>
      </w:r>
      <w:r w:rsidR="00BE453C">
        <w:t xml:space="preserve"> and from other sources</w:t>
      </w:r>
      <w:r w:rsidR="00847FD6">
        <w:t xml:space="preserve">.  The annual minimum concentration </w:t>
      </w:r>
      <w:r w:rsidR="003C1A4E">
        <w:t>of the s</w:t>
      </w:r>
      <w:r w:rsidR="00847FD6">
        <w:t xml:space="preserve">pring </w:t>
      </w:r>
      <w:r w:rsidR="003C1A4E">
        <w:t xml:space="preserve">discharge </w:t>
      </w:r>
      <w:r w:rsidR="00847FD6">
        <w:t xml:space="preserve">has been stable </w:t>
      </w:r>
      <w:r w:rsidR="0013205B">
        <w:t xml:space="preserve">for the last four years at 0.34 mg/L.   The maximum concentration has exhibited slightly more variation and </w:t>
      </w:r>
      <w:r w:rsidR="00847FD6">
        <w:t>declined slightly a</w:t>
      </w:r>
      <w:r w:rsidR="0013205B">
        <w:t>t the rate of 0.01 to 0.02 mg/L for the last few years</w:t>
      </w:r>
      <w:r w:rsidR="00922B27">
        <w:t xml:space="preserve"> </w:t>
      </w:r>
      <w:r w:rsidR="00847FD6">
        <w:t xml:space="preserve">and was </w:t>
      </w:r>
      <w:r w:rsidR="00922B27">
        <w:t xml:space="preserve">0.47 mg/L in 2019.  Slight </w:t>
      </w:r>
      <w:r w:rsidR="0071070F">
        <w:t xml:space="preserve">additional </w:t>
      </w:r>
      <w:r w:rsidR="00922B27">
        <w:t xml:space="preserve">decreases may occur as the </w:t>
      </w:r>
      <w:r w:rsidR="004E1AFF">
        <w:t xml:space="preserve">annual </w:t>
      </w:r>
      <w:r w:rsidR="00922B27">
        <w:t xml:space="preserve">maximum </w:t>
      </w:r>
      <w:r w:rsidR="00847FD6">
        <w:t xml:space="preserve">nitrogen concentration </w:t>
      </w:r>
      <w:r w:rsidR="00922B27">
        <w:t xml:space="preserve">tends towards the </w:t>
      </w:r>
      <w:r w:rsidR="00423BDE">
        <w:t>minimum</w:t>
      </w:r>
      <w:r w:rsidR="004E1AFF">
        <w:t xml:space="preserve">.  Any decline, </w:t>
      </w:r>
      <w:r w:rsidR="00F066A8">
        <w:t>however,</w:t>
      </w:r>
      <w:r w:rsidR="00922B27">
        <w:t xml:space="preserve"> will be small.</w:t>
      </w:r>
      <w:r w:rsidR="00CB4236">
        <w:t xml:space="preserve">  </w:t>
      </w:r>
    </w:p>
    <w:p w:rsidR="004E1AFF" w:rsidRDefault="004E1AFF" w:rsidP="00DA21AA">
      <w:pPr>
        <w:pStyle w:val="NoSpacing"/>
      </w:pPr>
    </w:p>
    <w:p w:rsidR="00DA21AA" w:rsidRDefault="00CB4236" w:rsidP="00DA21AA">
      <w:pPr>
        <w:pStyle w:val="NoSpacing"/>
      </w:pPr>
      <w:r>
        <w:t xml:space="preserve">As I’ve stated previously, the reduction and stabilization of nitrogen levels in Wakulla Springs discharge is attributable to </w:t>
      </w:r>
      <w:r w:rsidR="00F51F9B">
        <w:t xml:space="preserve">the design and construction of advanced wastewater treatment (denitrification) by the City of Tallahassee (COT).  The declines illustrated by Figures 1-3 coincide with the start of the new treatment process and the staged reduction of nitrogen in the plant effluent.  </w:t>
      </w:r>
      <w:r w:rsidR="00403F9F">
        <w:t xml:space="preserve">As a result of the N reductions in wastewater effluent and the spring discharge, </w:t>
      </w:r>
      <w:r w:rsidR="00433B75">
        <w:t xml:space="preserve">WSA Board Members </w:t>
      </w:r>
      <w:r w:rsidR="004E1AFF">
        <w:t xml:space="preserve">and others </w:t>
      </w:r>
      <w:r w:rsidR="00433B75">
        <w:t xml:space="preserve">have reported </w:t>
      </w:r>
      <w:r w:rsidR="00403F9F">
        <w:t xml:space="preserve">improvements </w:t>
      </w:r>
      <w:r w:rsidR="004E1AFF">
        <w:t xml:space="preserve">in </w:t>
      </w:r>
      <w:r w:rsidR="00403F9F">
        <w:t xml:space="preserve">water clarity in </w:t>
      </w:r>
      <w:r w:rsidR="00433B75">
        <w:t xml:space="preserve">the spring </w:t>
      </w:r>
      <w:r w:rsidR="004E1AFF">
        <w:t xml:space="preserve">area, </w:t>
      </w:r>
      <w:r w:rsidR="005E77A1">
        <w:t>r</w:t>
      </w:r>
      <w:r w:rsidR="00403F9F">
        <w:t>eappearance of wildlife species in the river and a reduction in the occurrence of invasive plants</w:t>
      </w:r>
      <w:r w:rsidR="00433B75">
        <w:t>.</w:t>
      </w:r>
      <w:r w:rsidR="00F51F9B">
        <w:t xml:space="preserve">  </w:t>
      </w:r>
    </w:p>
    <w:p w:rsidR="00D879CD" w:rsidRDefault="00F51F9B" w:rsidP="00C36AB6">
      <w:pPr>
        <w:pStyle w:val="NoSpacing"/>
      </w:pPr>
      <w:r>
        <w:t xml:space="preserve"> </w:t>
      </w:r>
    </w:p>
    <w:p w:rsidR="00DA21AA" w:rsidRDefault="00D879CD" w:rsidP="00DA21AA">
      <w:pPr>
        <w:pStyle w:val="NoSpacing"/>
      </w:pPr>
      <w:r>
        <w:t xml:space="preserve">The Basin Management Action Plan prepared by DEP </w:t>
      </w:r>
      <w:r w:rsidR="004E6311">
        <w:t xml:space="preserve">sets </w:t>
      </w:r>
      <w:r w:rsidR="00E2292D">
        <w:t>an</w:t>
      </w:r>
      <w:r w:rsidR="004E6311">
        <w:t xml:space="preserve"> average annual target concentration of 0.35 mg/L for discharge from Wakulla Springs.</w:t>
      </w:r>
      <w:r w:rsidR="0065377C">
        <w:t xml:space="preserve">  </w:t>
      </w:r>
      <w:r w:rsidR="00F37AF8">
        <w:t xml:space="preserve">As described above, the </w:t>
      </w:r>
      <w:r w:rsidR="00CB4236">
        <w:t>average annual concentration for the six years from 2014 to 2019 ranged from 0.40 to 0.42 mg/L with an average of 0.41 mg/L over the six years.</w:t>
      </w:r>
      <w:r w:rsidR="00403F9F">
        <w:t xml:space="preserve">  </w:t>
      </w:r>
      <w:r w:rsidR="00CB4236">
        <w:t>Reduction of the annual average nitrogen level to 0.35 mg/L</w:t>
      </w:r>
      <w:r w:rsidR="005E77A1">
        <w:t xml:space="preserve">, </w:t>
      </w:r>
      <w:r w:rsidR="008D5C42">
        <w:t xml:space="preserve">therefore, </w:t>
      </w:r>
      <w:r w:rsidR="00433B75">
        <w:t xml:space="preserve">is </w:t>
      </w:r>
      <w:r w:rsidR="005E77A1">
        <w:t>unlikely</w:t>
      </w:r>
      <w:r w:rsidR="00C330DE">
        <w:t xml:space="preserve"> at the current level of nitrogen </w:t>
      </w:r>
      <w:r w:rsidR="007971C7">
        <w:t>loading upgradient of the spring.</w:t>
      </w:r>
      <w:r w:rsidR="00C330DE">
        <w:t xml:space="preserve">  </w:t>
      </w:r>
    </w:p>
    <w:p w:rsidR="00DA21AA" w:rsidRDefault="00DA21AA" w:rsidP="00DA21AA">
      <w:pPr>
        <w:pStyle w:val="NoSpacing"/>
      </w:pPr>
    </w:p>
    <w:p w:rsidR="00020486" w:rsidRDefault="00DA21AA" w:rsidP="00C36AB6">
      <w:pPr>
        <w:pStyle w:val="NoSpacing"/>
      </w:pPr>
      <w:r>
        <w:t>Significant additional nitrogen removal from the C</w:t>
      </w:r>
      <w:r w:rsidR="007971C7">
        <w:t xml:space="preserve">ity of Tallahassee </w:t>
      </w:r>
      <w:r>
        <w:t xml:space="preserve">wastewater stream is not feasible since the plant is </w:t>
      </w:r>
      <w:r w:rsidR="007971C7">
        <w:t xml:space="preserve">already </w:t>
      </w:r>
      <w:r w:rsidR="0071070F">
        <w:t xml:space="preserve">operating </w:t>
      </w:r>
      <w:r>
        <w:t xml:space="preserve">to lower the N levels to 3.0 mg/L </w:t>
      </w:r>
      <w:r w:rsidR="007971C7">
        <w:t xml:space="preserve">or less </w:t>
      </w:r>
      <w:r>
        <w:t xml:space="preserve">in comparison to concentrations in excess of 12 mg/L prior to the plant improvements.  In addition, current “restoration” projects being </w:t>
      </w:r>
      <w:r w:rsidR="007971C7">
        <w:t xml:space="preserve">conducted </w:t>
      </w:r>
      <w:r>
        <w:t>will not result in</w:t>
      </w:r>
      <w:r w:rsidR="008D5C42">
        <w:t xml:space="preserve"> significant reductions </w:t>
      </w:r>
      <w:r>
        <w:t xml:space="preserve">in nitrogen levels in the spring.  </w:t>
      </w:r>
      <w:r w:rsidR="0071070F">
        <w:t xml:space="preserve">By far the </w:t>
      </w:r>
      <w:r w:rsidR="008D5C42">
        <w:t xml:space="preserve">largest of these is </w:t>
      </w:r>
      <w:r w:rsidR="007971C7">
        <w:t xml:space="preserve">a </w:t>
      </w:r>
      <w:r w:rsidR="00E40D5A">
        <w:t xml:space="preserve">$20 million project being conducted </w:t>
      </w:r>
      <w:r w:rsidR="002629D8">
        <w:t xml:space="preserve">by the Northwest Florida Water Management District </w:t>
      </w:r>
      <w:r w:rsidR="008D5C42">
        <w:t xml:space="preserve">to convert septic tanks to central sewer at two subdivisions well </w:t>
      </w:r>
      <w:r w:rsidR="004E1AFF">
        <w:t xml:space="preserve">to the south of the </w:t>
      </w:r>
      <w:r w:rsidR="008D5C42">
        <w:t>spring</w:t>
      </w:r>
      <w:r w:rsidR="004E1AFF">
        <w:t>.</w:t>
      </w:r>
      <w:r w:rsidR="008D5C42">
        <w:t xml:space="preserve">  As I’ve previously shown, the project </w:t>
      </w:r>
      <w:r w:rsidR="002629D8">
        <w:t xml:space="preserve">will not result in any </w:t>
      </w:r>
      <w:r w:rsidR="00A860F9">
        <w:t xml:space="preserve">measurable </w:t>
      </w:r>
      <w:r w:rsidR="002629D8">
        <w:t xml:space="preserve">reduction in the nitrogen levels of Wakulla Springs or Wakulla River. </w:t>
      </w:r>
      <w:r w:rsidR="008D5C42">
        <w:t xml:space="preserve"> I’ve updated th</w:t>
      </w:r>
      <w:r w:rsidR="007971C7">
        <w:t>is a</w:t>
      </w:r>
      <w:r w:rsidR="008D5C42">
        <w:t xml:space="preserve">nalysis </w:t>
      </w:r>
      <w:r w:rsidR="004E1AFF">
        <w:t>to include more recent data and found that th</w:t>
      </w:r>
      <w:r w:rsidR="0044039C">
        <w:t xml:space="preserve">is </w:t>
      </w:r>
      <w:r w:rsidR="004E1AFF">
        <w:t xml:space="preserve">project is even </w:t>
      </w:r>
      <w:r w:rsidR="008D5C42">
        <w:t xml:space="preserve">less </w:t>
      </w:r>
      <w:r w:rsidR="007971C7">
        <w:t xml:space="preserve">effective in </w:t>
      </w:r>
      <w:r w:rsidR="00433B75">
        <w:t>reducing the N levels of Wakulla Springs than previously determined.</w:t>
      </w:r>
      <w:bookmarkStart w:id="0" w:name="_GoBack"/>
      <w:bookmarkEnd w:id="0"/>
      <w:r w:rsidR="003C1A4E">
        <w:t xml:space="preserve">    </w:t>
      </w:r>
    </w:p>
    <w:p w:rsidR="00020486" w:rsidRDefault="00020486" w:rsidP="00C36AB6">
      <w:pPr>
        <w:pStyle w:val="NoSpacing"/>
      </w:pPr>
    </w:p>
    <w:p w:rsidR="0077195E" w:rsidRDefault="00020486" w:rsidP="00C36AB6">
      <w:pPr>
        <w:pStyle w:val="NoSpacing"/>
      </w:pPr>
      <w:r>
        <w:t xml:space="preserve">Projects beneficial to Wakulla Springs should be focused on nitrogen sources north of Wakulla Spring.  Conversion of septic tanks to central sewer or use of advanced types of onsite disposal systems is an obvious choice.  In addition, stormwater loading of </w:t>
      </w:r>
      <w:r w:rsidR="00BA56BA">
        <w:t xml:space="preserve">area lakes is another source of N loading of Wakulla </w:t>
      </w:r>
      <w:r w:rsidR="00BA56BA">
        <w:lastRenderedPageBreak/>
        <w:t xml:space="preserve">Springs.  Lake Munson, Lake Jackson and Lake Lafayette have all been shown to be directly to the spring and are potential sources of nitrogen.  The lakes, however, have not been evaluated and considerable analysis is required to determine the contribution of </w:t>
      </w:r>
      <w:r w:rsidR="007971C7">
        <w:t xml:space="preserve">nitrogen to </w:t>
      </w:r>
      <w:r w:rsidR="00BA56BA">
        <w:t>Wakulla Spring.</w:t>
      </w:r>
      <w:r w:rsidR="0044039C">
        <w:t xml:space="preserve"> </w:t>
      </w:r>
      <w:r w:rsidR="0077195E">
        <w:t xml:space="preserve"> </w:t>
      </w:r>
    </w:p>
    <w:sectPr w:rsidR="0077195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E19" w:rsidRDefault="00B92E19" w:rsidP="00E964A3">
      <w:pPr>
        <w:spacing w:after="0" w:line="240" w:lineRule="auto"/>
      </w:pPr>
      <w:r>
        <w:separator/>
      </w:r>
    </w:p>
  </w:endnote>
  <w:endnote w:type="continuationSeparator" w:id="0">
    <w:p w:rsidR="00B92E19" w:rsidRDefault="00B92E19" w:rsidP="00E9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339139"/>
      <w:docPartObj>
        <w:docPartGallery w:val="Page Numbers (Bottom of Page)"/>
        <w:docPartUnique/>
      </w:docPartObj>
    </w:sdtPr>
    <w:sdtEndPr/>
    <w:sdtContent>
      <w:sdt>
        <w:sdtPr>
          <w:id w:val="98381352"/>
          <w:docPartObj>
            <w:docPartGallery w:val="Page Numbers (Top of Page)"/>
            <w:docPartUnique/>
          </w:docPartObj>
        </w:sdtPr>
        <w:sdtEndPr/>
        <w:sdtContent>
          <w:p w:rsidR="00E964A3" w:rsidRDefault="00E964A3">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44039C">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4039C">
              <w:rPr>
                <w:b/>
                <w:bCs/>
                <w:noProof/>
              </w:rPr>
              <w:t>4</w:t>
            </w:r>
            <w:r>
              <w:rPr>
                <w:b/>
                <w:bCs/>
                <w:sz w:val="24"/>
                <w:szCs w:val="24"/>
              </w:rPr>
              <w:fldChar w:fldCharType="end"/>
            </w:r>
          </w:p>
        </w:sdtContent>
      </w:sdt>
    </w:sdtContent>
  </w:sdt>
  <w:p w:rsidR="00E964A3" w:rsidRDefault="00E964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E19" w:rsidRDefault="00B92E19" w:rsidP="00E964A3">
      <w:pPr>
        <w:spacing w:after="0" w:line="240" w:lineRule="auto"/>
      </w:pPr>
      <w:r>
        <w:separator/>
      </w:r>
    </w:p>
  </w:footnote>
  <w:footnote w:type="continuationSeparator" w:id="0">
    <w:p w:rsidR="00B92E19" w:rsidRDefault="00B92E19" w:rsidP="00E964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FE2"/>
    <w:rsid w:val="00020486"/>
    <w:rsid w:val="0004451F"/>
    <w:rsid w:val="00074D84"/>
    <w:rsid w:val="00084A18"/>
    <w:rsid w:val="000B2483"/>
    <w:rsid w:val="000E340F"/>
    <w:rsid w:val="00110E5B"/>
    <w:rsid w:val="0013205B"/>
    <w:rsid w:val="00157F7E"/>
    <w:rsid w:val="00172AC6"/>
    <w:rsid w:val="00173E45"/>
    <w:rsid w:val="001C3BC6"/>
    <w:rsid w:val="001E31E4"/>
    <w:rsid w:val="002629D8"/>
    <w:rsid w:val="002C7C01"/>
    <w:rsid w:val="002D5556"/>
    <w:rsid w:val="00352324"/>
    <w:rsid w:val="00370075"/>
    <w:rsid w:val="003858D8"/>
    <w:rsid w:val="003C1A4E"/>
    <w:rsid w:val="003D4BEF"/>
    <w:rsid w:val="00403F9F"/>
    <w:rsid w:val="0041695E"/>
    <w:rsid w:val="00420C12"/>
    <w:rsid w:val="00423BDE"/>
    <w:rsid w:val="004243C3"/>
    <w:rsid w:val="00433B75"/>
    <w:rsid w:val="0044039C"/>
    <w:rsid w:val="00491C59"/>
    <w:rsid w:val="004E1AFF"/>
    <w:rsid w:val="004E4ACB"/>
    <w:rsid w:val="004E6311"/>
    <w:rsid w:val="004F6C6A"/>
    <w:rsid w:val="00507CA5"/>
    <w:rsid w:val="00536041"/>
    <w:rsid w:val="00565167"/>
    <w:rsid w:val="005E77A1"/>
    <w:rsid w:val="005F2336"/>
    <w:rsid w:val="006528DE"/>
    <w:rsid w:val="0065377C"/>
    <w:rsid w:val="0067151D"/>
    <w:rsid w:val="00691E34"/>
    <w:rsid w:val="006B0B9E"/>
    <w:rsid w:val="006C13D6"/>
    <w:rsid w:val="0071070F"/>
    <w:rsid w:val="00716077"/>
    <w:rsid w:val="00722C9F"/>
    <w:rsid w:val="00730BFB"/>
    <w:rsid w:val="00763193"/>
    <w:rsid w:val="0077195E"/>
    <w:rsid w:val="00777B07"/>
    <w:rsid w:val="007873E1"/>
    <w:rsid w:val="00796C63"/>
    <w:rsid w:val="007971C7"/>
    <w:rsid w:val="007F48BA"/>
    <w:rsid w:val="008163F5"/>
    <w:rsid w:val="00836150"/>
    <w:rsid w:val="00847FD6"/>
    <w:rsid w:val="0087779B"/>
    <w:rsid w:val="00881BBA"/>
    <w:rsid w:val="008D4FE2"/>
    <w:rsid w:val="008D5C42"/>
    <w:rsid w:val="00922B27"/>
    <w:rsid w:val="009318B6"/>
    <w:rsid w:val="0093229F"/>
    <w:rsid w:val="009867C6"/>
    <w:rsid w:val="00A03C4F"/>
    <w:rsid w:val="00A23F81"/>
    <w:rsid w:val="00A25FD0"/>
    <w:rsid w:val="00A30E00"/>
    <w:rsid w:val="00A61F1B"/>
    <w:rsid w:val="00A860F9"/>
    <w:rsid w:val="00AA539F"/>
    <w:rsid w:val="00AA78C3"/>
    <w:rsid w:val="00AD03F7"/>
    <w:rsid w:val="00B92E19"/>
    <w:rsid w:val="00B93AFA"/>
    <w:rsid w:val="00B9761A"/>
    <w:rsid w:val="00BA56BA"/>
    <w:rsid w:val="00BB117E"/>
    <w:rsid w:val="00BD0F1B"/>
    <w:rsid w:val="00BE1230"/>
    <w:rsid w:val="00BE453C"/>
    <w:rsid w:val="00C20AF8"/>
    <w:rsid w:val="00C330DE"/>
    <w:rsid w:val="00C36AB6"/>
    <w:rsid w:val="00C41CB9"/>
    <w:rsid w:val="00C60085"/>
    <w:rsid w:val="00CB4236"/>
    <w:rsid w:val="00CC7F8B"/>
    <w:rsid w:val="00D402EF"/>
    <w:rsid w:val="00D53FFD"/>
    <w:rsid w:val="00D77F97"/>
    <w:rsid w:val="00D879CD"/>
    <w:rsid w:val="00DA21AA"/>
    <w:rsid w:val="00DA5DD1"/>
    <w:rsid w:val="00DB0B19"/>
    <w:rsid w:val="00DB3527"/>
    <w:rsid w:val="00DC07FB"/>
    <w:rsid w:val="00DF5B5F"/>
    <w:rsid w:val="00E2292D"/>
    <w:rsid w:val="00E40D5A"/>
    <w:rsid w:val="00E67007"/>
    <w:rsid w:val="00E70FE7"/>
    <w:rsid w:val="00E964A3"/>
    <w:rsid w:val="00EC0963"/>
    <w:rsid w:val="00F00037"/>
    <w:rsid w:val="00F066A8"/>
    <w:rsid w:val="00F23797"/>
    <w:rsid w:val="00F37AF8"/>
    <w:rsid w:val="00F44FD8"/>
    <w:rsid w:val="00F51F9B"/>
    <w:rsid w:val="00F67752"/>
    <w:rsid w:val="00FA7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AB6"/>
    <w:pPr>
      <w:spacing w:after="0" w:line="240" w:lineRule="auto"/>
    </w:pPr>
  </w:style>
  <w:style w:type="paragraph" w:styleId="BalloonText">
    <w:name w:val="Balloon Text"/>
    <w:basedOn w:val="Normal"/>
    <w:link w:val="BalloonTextChar"/>
    <w:uiPriority w:val="99"/>
    <w:semiHidden/>
    <w:unhideWhenUsed/>
    <w:rsid w:val="00491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C59"/>
    <w:rPr>
      <w:rFonts w:ascii="Tahoma" w:hAnsi="Tahoma" w:cs="Tahoma"/>
      <w:sz w:val="16"/>
      <w:szCs w:val="16"/>
    </w:rPr>
  </w:style>
  <w:style w:type="paragraph" w:styleId="Header">
    <w:name w:val="header"/>
    <w:basedOn w:val="Normal"/>
    <w:link w:val="HeaderChar"/>
    <w:uiPriority w:val="99"/>
    <w:unhideWhenUsed/>
    <w:rsid w:val="00E96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4A3"/>
  </w:style>
  <w:style w:type="paragraph" w:styleId="Footer">
    <w:name w:val="footer"/>
    <w:basedOn w:val="Normal"/>
    <w:link w:val="FooterChar"/>
    <w:uiPriority w:val="99"/>
    <w:unhideWhenUsed/>
    <w:rsid w:val="00E96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6AB6"/>
    <w:pPr>
      <w:spacing w:after="0" w:line="240" w:lineRule="auto"/>
    </w:pPr>
  </w:style>
  <w:style w:type="paragraph" w:styleId="BalloonText">
    <w:name w:val="Balloon Text"/>
    <w:basedOn w:val="Normal"/>
    <w:link w:val="BalloonTextChar"/>
    <w:uiPriority w:val="99"/>
    <w:semiHidden/>
    <w:unhideWhenUsed/>
    <w:rsid w:val="00491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C59"/>
    <w:rPr>
      <w:rFonts w:ascii="Tahoma" w:hAnsi="Tahoma" w:cs="Tahoma"/>
      <w:sz w:val="16"/>
      <w:szCs w:val="16"/>
    </w:rPr>
  </w:style>
  <w:style w:type="paragraph" w:styleId="Header">
    <w:name w:val="header"/>
    <w:basedOn w:val="Normal"/>
    <w:link w:val="HeaderChar"/>
    <w:uiPriority w:val="99"/>
    <w:unhideWhenUsed/>
    <w:rsid w:val="00E96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4A3"/>
  </w:style>
  <w:style w:type="paragraph" w:styleId="Footer">
    <w:name w:val="footer"/>
    <w:basedOn w:val="Normal"/>
    <w:link w:val="FooterChar"/>
    <w:uiPriority w:val="99"/>
    <w:unhideWhenUsed/>
    <w:rsid w:val="00E96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Owner\Documents\Technical\Wakulla%20Springs\Wakulla%20Springs%20nutrient%20data%20analysis\wakulla3%20main%20ven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Figure 1- Mean Annual N Concentrations ind Discharge from Wakulla Springs, Main Vent (mg/L).</a:t>
            </a:r>
          </a:p>
        </c:rich>
      </c:tx>
      <c:overlay val="0"/>
    </c:title>
    <c:autoTitleDeleted val="0"/>
    <c:plotArea>
      <c:layout/>
      <c:lineChart>
        <c:grouping val="standard"/>
        <c:varyColors val="0"/>
        <c:ser>
          <c:idx val="0"/>
          <c:order val="0"/>
          <c:spPr>
            <a:ln>
              <a:noFill/>
            </a:ln>
          </c:spPr>
          <c:dLbls>
            <c:dLbl>
              <c:idx val="0"/>
              <c:layout>
                <c:manualLayout>
                  <c:x val="-1.2820512820512841E-2"/>
                  <c:y val="1.932367149758454E-2"/>
                </c:manualLayout>
              </c:layout>
              <c:tx>
                <c:rich>
                  <a:bodyPr/>
                  <a:lstStyle/>
                  <a:p>
                    <a:r>
                      <a:rPr lang="en-US" baseline="30000"/>
                      <a:t>n=8</a:t>
                    </a:r>
                  </a:p>
                </c:rich>
              </c:tx>
              <c:showLegendKey val="0"/>
              <c:showVal val="1"/>
              <c:showCatName val="0"/>
              <c:showSerName val="0"/>
              <c:showPercent val="0"/>
              <c:showBubbleSize val="0"/>
            </c:dLbl>
            <c:dLbl>
              <c:idx val="1"/>
              <c:layout>
                <c:manualLayout>
                  <c:x val="-1.0683760683760684E-2"/>
                  <c:y val="-9.6618357487922701E-3"/>
                </c:manualLayout>
              </c:layout>
              <c:tx>
                <c:rich>
                  <a:bodyPr/>
                  <a:lstStyle/>
                  <a:p>
                    <a:r>
                      <a:rPr lang="en-US" baseline="30000"/>
                      <a:t>n=2</a:t>
                    </a:r>
                  </a:p>
                </c:rich>
              </c:tx>
              <c:showLegendKey val="0"/>
              <c:showVal val="1"/>
              <c:showCatName val="0"/>
              <c:showSerName val="0"/>
              <c:showPercent val="0"/>
              <c:showBubbleSize val="0"/>
            </c:dLbl>
            <c:dLbl>
              <c:idx val="2"/>
              <c:layout>
                <c:manualLayout>
                  <c:x val="-1.0683760683760684E-2"/>
                  <c:y val="-2.8985507246376812E-2"/>
                </c:manualLayout>
              </c:layout>
              <c:tx>
                <c:rich>
                  <a:bodyPr/>
                  <a:lstStyle/>
                  <a:p>
                    <a:r>
                      <a:rPr lang="en-US" baseline="30000"/>
                      <a:t>n=4</a:t>
                    </a:r>
                  </a:p>
                </c:rich>
              </c:tx>
              <c:showLegendKey val="0"/>
              <c:showVal val="1"/>
              <c:showCatName val="0"/>
              <c:showSerName val="0"/>
              <c:showPercent val="0"/>
              <c:showBubbleSize val="0"/>
            </c:dLbl>
            <c:showLegendKey val="0"/>
            <c:showVal val="0"/>
            <c:showCatName val="0"/>
            <c:showSerName val="0"/>
            <c:showPercent val="0"/>
            <c:showBubbleSize val="0"/>
          </c:dLbls>
          <c:trendline>
            <c:trendlineType val="poly"/>
            <c:order val="2"/>
            <c:dispRSqr val="1"/>
            <c:dispEq val="0"/>
            <c:trendlineLbl>
              <c:layout>
                <c:manualLayout>
                  <c:x val="-0.35565177080137711"/>
                  <c:y val="3.5674759405074363E-2"/>
                </c:manualLayout>
              </c:layout>
              <c:numFmt formatCode="General" sourceLinked="0"/>
            </c:trendlineLbl>
          </c:trendline>
          <c:cat>
            <c:numRef>
              <c:f>'DEP NWF data all plots '!$D$38:$D$198</c:f>
              <c:numCache>
                <c:formatCode>General</c:formatCode>
                <c:ptCount val="161"/>
                <c:pt idx="0" formatCode="d\-mmm\-yy">
                  <c:v>36891</c:v>
                </c:pt>
                <c:pt idx="3" formatCode="d\-mmm\-yy">
                  <c:v>37256</c:v>
                </c:pt>
                <c:pt idx="7" formatCode="d\-mmm\-yy">
                  <c:v>37621</c:v>
                </c:pt>
                <c:pt idx="14" formatCode="d\-mmm\-yy">
                  <c:v>37986</c:v>
                </c:pt>
                <c:pt idx="28" formatCode="d\-mmm\-yy">
                  <c:v>38352</c:v>
                </c:pt>
                <c:pt idx="38" formatCode="d\-mmm\-yy">
                  <c:v>38717</c:v>
                </c:pt>
                <c:pt idx="47" formatCode="d\-mmm\-yy">
                  <c:v>39082</c:v>
                </c:pt>
                <c:pt idx="55" formatCode="d\-mmm\-yy">
                  <c:v>39447</c:v>
                </c:pt>
                <c:pt idx="65" formatCode="d\-mmm\-yy">
                  <c:v>39813</c:v>
                </c:pt>
                <c:pt idx="78" formatCode="d\-mmm\-yy">
                  <c:v>40178</c:v>
                </c:pt>
                <c:pt idx="86" formatCode="d\-mmm\-yy">
                  <c:v>40543</c:v>
                </c:pt>
                <c:pt idx="94" formatCode="d\-mmm\-yy">
                  <c:v>40908</c:v>
                </c:pt>
                <c:pt idx="106" formatCode="d\-mmm\-yy">
                  <c:v>41274</c:v>
                </c:pt>
                <c:pt idx="113" formatCode="d\-mmm\-yy">
                  <c:v>41639</c:v>
                </c:pt>
                <c:pt idx="121" formatCode="d\-mmm\-yy">
                  <c:v>42004</c:v>
                </c:pt>
                <c:pt idx="129" formatCode="d\-mmm\-yy">
                  <c:v>42369</c:v>
                </c:pt>
                <c:pt idx="134" formatCode="d\-mmm\-yy">
                  <c:v>42735</c:v>
                </c:pt>
                <c:pt idx="142" formatCode="d\-mmm\-yy">
                  <c:v>43100</c:v>
                </c:pt>
                <c:pt idx="151" formatCode="d\-mmm\-yy">
                  <c:v>43465</c:v>
                </c:pt>
                <c:pt idx="160" formatCode="d\-mmm\-yy">
                  <c:v>43830</c:v>
                </c:pt>
              </c:numCache>
            </c:numRef>
          </c:cat>
          <c:val>
            <c:numRef>
              <c:f>'DEP NWF data all plots '!$E$38:$E$198</c:f>
              <c:numCache>
                <c:formatCode>General</c:formatCode>
                <c:ptCount val="161"/>
                <c:pt idx="0" formatCode="0.00">
                  <c:v>0.76875000000000004</c:v>
                </c:pt>
                <c:pt idx="3" formatCode="0.00">
                  <c:v>1.0449999999999999</c:v>
                </c:pt>
                <c:pt idx="7" formatCode="0.00">
                  <c:v>0.83500000000000008</c:v>
                </c:pt>
                <c:pt idx="14" formatCode="0.00">
                  <c:v>0.72142857142857142</c:v>
                </c:pt>
                <c:pt idx="28" formatCode="0.00">
                  <c:v>0.66999999999999993</c:v>
                </c:pt>
                <c:pt idx="38" formatCode="0.00">
                  <c:v>0.66</c:v>
                </c:pt>
                <c:pt idx="47" formatCode="0.00">
                  <c:v>0.6</c:v>
                </c:pt>
                <c:pt idx="55" formatCode="0.00">
                  <c:v>0.58624999999999994</c:v>
                </c:pt>
                <c:pt idx="65" formatCode="0.00">
                  <c:v>0.60899999999999987</c:v>
                </c:pt>
                <c:pt idx="78" formatCode="0.00">
                  <c:v>0.59</c:v>
                </c:pt>
                <c:pt idx="86" formatCode="0.00">
                  <c:v>0.59499999999999997</c:v>
                </c:pt>
                <c:pt idx="94" formatCode="0.00">
                  <c:v>0.53625</c:v>
                </c:pt>
                <c:pt idx="106" formatCode="0.00">
                  <c:v>0.505</c:v>
                </c:pt>
                <c:pt idx="113" formatCode="0.00">
                  <c:v>0.46285714285714291</c:v>
                </c:pt>
                <c:pt idx="121" formatCode="0.00">
                  <c:v>0.4</c:v>
                </c:pt>
                <c:pt idx="129" formatCode="0.00">
                  <c:v>0.42125000000000001</c:v>
                </c:pt>
                <c:pt idx="134" formatCode="0.00">
                  <c:v>0.41600000000000004</c:v>
                </c:pt>
                <c:pt idx="142" formatCode="0.00">
                  <c:v>0.41625000000000001</c:v>
                </c:pt>
                <c:pt idx="151" formatCode="0.00">
                  <c:v>0.41966666666666669</c:v>
                </c:pt>
                <c:pt idx="160" formatCode="0.00">
                  <c:v>0.40375</c:v>
                </c:pt>
              </c:numCache>
            </c:numRef>
          </c:val>
          <c:smooth val="0"/>
        </c:ser>
        <c:dLbls>
          <c:showLegendKey val="0"/>
          <c:showVal val="0"/>
          <c:showCatName val="0"/>
          <c:showSerName val="0"/>
          <c:showPercent val="0"/>
          <c:showBubbleSize val="0"/>
        </c:dLbls>
        <c:marker val="1"/>
        <c:smooth val="0"/>
        <c:axId val="59603968"/>
        <c:axId val="165832960"/>
      </c:lineChart>
      <c:dateAx>
        <c:axId val="59603968"/>
        <c:scaling>
          <c:orientation val="minMax"/>
        </c:scaling>
        <c:delete val="0"/>
        <c:axPos val="b"/>
        <c:title>
          <c:tx>
            <c:rich>
              <a:bodyPr/>
              <a:lstStyle/>
              <a:p>
                <a:pPr>
                  <a:defRPr/>
                </a:pPr>
                <a:r>
                  <a:rPr lang="en-US"/>
                  <a:t>Year</a:t>
                </a:r>
              </a:p>
            </c:rich>
          </c:tx>
          <c:overlay val="0"/>
        </c:title>
        <c:numFmt formatCode="yyyy" sourceLinked="0"/>
        <c:majorTickMark val="out"/>
        <c:minorTickMark val="none"/>
        <c:tickLblPos val="nextTo"/>
        <c:crossAx val="165832960"/>
        <c:crosses val="autoZero"/>
        <c:auto val="1"/>
        <c:lblOffset val="100"/>
        <c:baseTimeUnit val="years"/>
      </c:dateAx>
      <c:valAx>
        <c:axId val="165832960"/>
        <c:scaling>
          <c:orientation val="minMax"/>
          <c:max val="1.2"/>
        </c:scaling>
        <c:delete val="0"/>
        <c:axPos val="l"/>
        <c:majorGridlines/>
        <c:title>
          <c:tx>
            <c:rich>
              <a:bodyPr rot="-5400000" vert="horz"/>
              <a:lstStyle/>
              <a:p>
                <a:pPr>
                  <a:defRPr/>
                </a:pPr>
                <a:r>
                  <a:rPr lang="en-US"/>
                  <a:t>mg/L</a:t>
                </a:r>
              </a:p>
            </c:rich>
          </c:tx>
          <c:overlay val="0"/>
        </c:title>
        <c:numFmt formatCode="0.00" sourceLinked="1"/>
        <c:majorTickMark val="out"/>
        <c:minorTickMark val="none"/>
        <c:tickLblPos val="nextTo"/>
        <c:crossAx val="596039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Figure 2- Instantaneous N Concentrations in Discharge from Wakulla Springs, Main Vent (mg/L)</a:t>
            </a:r>
          </a:p>
        </c:rich>
      </c:tx>
      <c:overlay val="0"/>
    </c:title>
    <c:autoTitleDeleted val="0"/>
    <c:plotArea>
      <c:layout/>
      <c:lineChart>
        <c:grouping val="standard"/>
        <c:varyColors val="0"/>
        <c:ser>
          <c:idx val="0"/>
          <c:order val="0"/>
          <c:spPr>
            <a:ln>
              <a:noFill/>
            </a:ln>
          </c:spPr>
          <c:trendline>
            <c:trendlineType val="poly"/>
            <c:order val="2"/>
            <c:dispRSqr val="1"/>
            <c:dispEq val="0"/>
            <c:trendlineLbl>
              <c:layout>
                <c:manualLayout>
                  <c:x val="-0.41671780017135163"/>
                  <c:y val="4.2433355469120575E-2"/>
                </c:manualLayout>
              </c:layout>
              <c:numFmt formatCode="General" sourceLinked="0"/>
            </c:trendlineLbl>
          </c:trendline>
          <c:cat>
            <c:numRef>
              <c:f>'DEP NWF data all plots '!$A$42:$A$200</c:f>
              <c:numCache>
                <c:formatCode>m/d/yyyy</c:formatCode>
                <c:ptCount val="159"/>
                <c:pt idx="0">
                  <c:v>37264</c:v>
                </c:pt>
                <c:pt idx="1">
                  <c:v>37361</c:v>
                </c:pt>
                <c:pt idx="2">
                  <c:v>37458</c:v>
                </c:pt>
                <c:pt idx="3">
                  <c:v>37546</c:v>
                </c:pt>
                <c:pt idx="4">
                  <c:v>37628</c:v>
                </c:pt>
                <c:pt idx="5">
                  <c:v>37719</c:v>
                </c:pt>
                <c:pt idx="6">
                  <c:v>37817</c:v>
                </c:pt>
                <c:pt idx="7">
                  <c:v>37902</c:v>
                </c:pt>
                <c:pt idx="8">
                  <c:v>37922</c:v>
                </c:pt>
                <c:pt idx="9">
                  <c:v>37950</c:v>
                </c:pt>
                <c:pt idx="10">
                  <c:v>37977</c:v>
                </c:pt>
                <c:pt idx="11">
                  <c:v>37993</c:v>
                </c:pt>
                <c:pt idx="12">
                  <c:v>38008</c:v>
                </c:pt>
                <c:pt idx="13">
                  <c:v>38043</c:v>
                </c:pt>
                <c:pt idx="14">
                  <c:v>38075</c:v>
                </c:pt>
                <c:pt idx="15">
                  <c:v>38089</c:v>
                </c:pt>
                <c:pt idx="16">
                  <c:v>38103</c:v>
                </c:pt>
                <c:pt idx="17">
                  <c:v>38131</c:v>
                </c:pt>
                <c:pt idx="18">
                  <c:v>38135</c:v>
                </c:pt>
                <c:pt idx="19">
                  <c:v>38194</c:v>
                </c:pt>
                <c:pt idx="20">
                  <c:v>38201</c:v>
                </c:pt>
                <c:pt idx="21">
                  <c:v>38223</c:v>
                </c:pt>
                <c:pt idx="22">
                  <c:v>38250</c:v>
                </c:pt>
                <c:pt idx="23">
                  <c:v>38285</c:v>
                </c:pt>
                <c:pt idx="24">
                  <c:v>38292</c:v>
                </c:pt>
                <c:pt idx="25">
                  <c:v>38376</c:v>
                </c:pt>
                <c:pt idx="26">
                  <c:v>38383</c:v>
                </c:pt>
                <c:pt idx="27">
                  <c:v>38467</c:v>
                </c:pt>
                <c:pt idx="28">
                  <c:v>38474</c:v>
                </c:pt>
                <c:pt idx="29">
                  <c:v>38558</c:v>
                </c:pt>
                <c:pt idx="30">
                  <c:v>38576</c:v>
                </c:pt>
                <c:pt idx="31">
                  <c:v>38650</c:v>
                </c:pt>
                <c:pt idx="32">
                  <c:v>38659</c:v>
                </c:pt>
                <c:pt idx="33">
                  <c:v>38674</c:v>
                </c:pt>
                <c:pt idx="34">
                  <c:v>38692</c:v>
                </c:pt>
                <c:pt idx="35">
                  <c:v>38734</c:v>
                </c:pt>
                <c:pt idx="36">
                  <c:v>38777</c:v>
                </c:pt>
                <c:pt idx="37">
                  <c:v>38831</c:v>
                </c:pt>
                <c:pt idx="38">
                  <c:v>38875</c:v>
                </c:pt>
                <c:pt idx="39">
                  <c:v>38911</c:v>
                </c:pt>
                <c:pt idx="40">
                  <c:v>38922</c:v>
                </c:pt>
                <c:pt idx="41">
                  <c:v>38987</c:v>
                </c:pt>
                <c:pt idx="42">
                  <c:v>39014</c:v>
                </c:pt>
                <c:pt idx="43">
                  <c:v>39056</c:v>
                </c:pt>
                <c:pt idx="44">
                  <c:v>39104</c:v>
                </c:pt>
                <c:pt idx="45">
                  <c:v>39141</c:v>
                </c:pt>
                <c:pt idx="46">
                  <c:v>39195</c:v>
                </c:pt>
                <c:pt idx="47">
                  <c:v>39233</c:v>
                </c:pt>
                <c:pt idx="48">
                  <c:v>39286</c:v>
                </c:pt>
                <c:pt idx="49">
                  <c:v>39338</c:v>
                </c:pt>
                <c:pt idx="50">
                  <c:v>39377</c:v>
                </c:pt>
                <c:pt idx="51">
                  <c:v>39415</c:v>
                </c:pt>
                <c:pt idx="52">
                  <c:v>39469</c:v>
                </c:pt>
                <c:pt idx="53">
                  <c:v>39478</c:v>
                </c:pt>
                <c:pt idx="54">
                  <c:v>39503</c:v>
                </c:pt>
                <c:pt idx="55">
                  <c:v>39519</c:v>
                </c:pt>
                <c:pt idx="56">
                  <c:v>39562</c:v>
                </c:pt>
                <c:pt idx="57">
                  <c:v>39595</c:v>
                </c:pt>
                <c:pt idx="58">
                  <c:v>39652</c:v>
                </c:pt>
                <c:pt idx="59">
                  <c:v>39695</c:v>
                </c:pt>
                <c:pt idx="60">
                  <c:v>39741</c:v>
                </c:pt>
                <c:pt idx="61">
                  <c:v>39790</c:v>
                </c:pt>
                <c:pt idx="62">
                  <c:v>39833</c:v>
                </c:pt>
                <c:pt idx="63">
                  <c:v>39902</c:v>
                </c:pt>
                <c:pt idx="64">
                  <c:v>39909</c:v>
                </c:pt>
                <c:pt idx="65">
                  <c:v>39916</c:v>
                </c:pt>
                <c:pt idx="66">
                  <c:v>39924</c:v>
                </c:pt>
                <c:pt idx="67">
                  <c:v>39934</c:v>
                </c:pt>
                <c:pt idx="68">
                  <c:v>39941</c:v>
                </c:pt>
                <c:pt idx="69">
                  <c:v>39973</c:v>
                </c:pt>
                <c:pt idx="70">
                  <c:v>40014</c:v>
                </c:pt>
                <c:pt idx="71">
                  <c:v>40035</c:v>
                </c:pt>
                <c:pt idx="72">
                  <c:v>40079</c:v>
                </c:pt>
                <c:pt idx="73">
                  <c:v>40107</c:v>
                </c:pt>
                <c:pt idx="74">
                  <c:v>40156</c:v>
                </c:pt>
                <c:pt idx="75">
                  <c:v>40197</c:v>
                </c:pt>
                <c:pt idx="76">
                  <c:v>40254</c:v>
                </c:pt>
                <c:pt idx="77">
                  <c:v>40290</c:v>
                </c:pt>
                <c:pt idx="78">
                  <c:v>40317</c:v>
                </c:pt>
                <c:pt idx="79">
                  <c:v>40378</c:v>
                </c:pt>
                <c:pt idx="80">
                  <c:v>40395</c:v>
                </c:pt>
                <c:pt idx="81">
                  <c:v>40469</c:v>
                </c:pt>
                <c:pt idx="82">
                  <c:v>40533</c:v>
                </c:pt>
                <c:pt idx="83">
                  <c:v>40562</c:v>
                </c:pt>
                <c:pt idx="84">
                  <c:v>40624</c:v>
                </c:pt>
                <c:pt idx="85">
                  <c:v>40653</c:v>
                </c:pt>
                <c:pt idx="86">
                  <c:v>40725</c:v>
                </c:pt>
                <c:pt idx="87">
                  <c:v>40738</c:v>
                </c:pt>
                <c:pt idx="88">
                  <c:v>40833</c:v>
                </c:pt>
                <c:pt idx="89">
                  <c:v>40835</c:v>
                </c:pt>
                <c:pt idx="90">
                  <c:v>40899</c:v>
                </c:pt>
                <c:pt idx="91">
                  <c:v>40927</c:v>
                </c:pt>
                <c:pt idx="92">
                  <c:v>41002</c:v>
                </c:pt>
                <c:pt idx="93">
                  <c:v>41022</c:v>
                </c:pt>
                <c:pt idx="94">
                  <c:v>41053</c:v>
                </c:pt>
                <c:pt idx="95">
                  <c:v>41092</c:v>
                </c:pt>
                <c:pt idx="96">
                  <c:v>41099</c:v>
                </c:pt>
                <c:pt idx="97">
                  <c:v>41102</c:v>
                </c:pt>
                <c:pt idx="98">
                  <c:v>41106</c:v>
                </c:pt>
                <c:pt idx="99">
                  <c:v>41114</c:v>
                </c:pt>
                <c:pt idx="100">
                  <c:v>41156</c:v>
                </c:pt>
                <c:pt idx="101">
                  <c:v>41204</c:v>
                </c:pt>
                <c:pt idx="102">
                  <c:v>41248</c:v>
                </c:pt>
                <c:pt idx="103">
                  <c:v>41297</c:v>
                </c:pt>
                <c:pt idx="104">
                  <c:v>41345</c:v>
                </c:pt>
                <c:pt idx="105">
                  <c:v>41374</c:v>
                </c:pt>
                <c:pt idx="106">
                  <c:v>41445</c:v>
                </c:pt>
                <c:pt idx="107">
                  <c:v>41472</c:v>
                </c:pt>
                <c:pt idx="108">
                  <c:v>41486</c:v>
                </c:pt>
                <c:pt idx="109">
                  <c:v>41577</c:v>
                </c:pt>
                <c:pt idx="110">
                  <c:v>41660</c:v>
                </c:pt>
                <c:pt idx="111">
                  <c:v>41675</c:v>
                </c:pt>
                <c:pt idx="112">
                  <c:v>41750</c:v>
                </c:pt>
                <c:pt idx="113">
                  <c:v>41765</c:v>
                </c:pt>
                <c:pt idx="114">
                  <c:v>41842</c:v>
                </c:pt>
                <c:pt idx="115">
                  <c:v>41885</c:v>
                </c:pt>
                <c:pt idx="116">
                  <c:v>41932</c:v>
                </c:pt>
                <c:pt idx="117">
                  <c:v>41975</c:v>
                </c:pt>
                <c:pt idx="118">
                  <c:v>42025</c:v>
                </c:pt>
                <c:pt idx="119">
                  <c:v>42074</c:v>
                </c:pt>
                <c:pt idx="120">
                  <c:v>42114</c:v>
                </c:pt>
                <c:pt idx="121">
                  <c:v>42163</c:v>
                </c:pt>
                <c:pt idx="122">
                  <c:v>42206</c:v>
                </c:pt>
                <c:pt idx="123">
                  <c:v>42257</c:v>
                </c:pt>
                <c:pt idx="124">
                  <c:v>42296</c:v>
                </c:pt>
                <c:pt idx="125">
                  <c:v>42346</c:v>
                </c:pt>
                <c:pt idx="126">
                  <c:v>42437</c:v>
                </c:pt>
                <c:pt idx="127">
                  <c:v>42522</c:v>
                </c:pt>
                <c:pt idx="128">
                  <c:v>42626</c:v>
                </c:pt>
                <c:pt idx="129" formatCode="[$-409]d\-mmm\-yy;@">
                  <c:v>42653</c:v>
                </c:pt>
                <c:pt idx="130" formatCode="[$-409]d\-mmm\-yy;@">
                  <c:v>42709</c:v>
                </c:pt>
                <c:pt idx="131" formatCode="[$-409]d\-mmm\-yy;@">
                  <c:v>42758</c:v>
                </c:pt>
                <c:pt idx="132" formatCode="[$-409]d\-mmm\-yy;@">
                  <c:v>42800</c:v>
                </c:pt>
                <c:pt idx="133">
                  <c:v>42851</c:v>
                </c:pt>
                <c:pt idx="134">
                  <c:v>42894</c:v>
                </c:pt>
                <c:pt idx="135">
                  <c:v>42943</c:v>
                </c:pt>
                <c:pt idx="136">
                  <c:v>42991</c:v>
                </c:pt>
                <c:pt idx="137">
                  <c:v>43034</c:v>
                </c:pt>
                <c:pt idx="138">
                  <c:v>43075</c:v>
                </c:pt>
                <c:pt idx="139">
                  <c:v>43124</c:v>
                </c:pt>
                <c:pt idx="140">
                  <c:v>43167</c:v>
                </c:pt>
                <c:pt idx="141">
                  <c:v>43207</c:v>
                </c:pt>
                <c:pt idx="142">
                  <c:v>43216</c:v>
                </c:pt>
                <c:pt idx="143">
                  <c:v>43258</c:v>
                </c:pt>
                <c:pt idx="144">
                  <c:v>43305</c:v>
                </c:pt>
                <c:pt idx="145">
                  <c:v>43349</c:v>
                </c:pt>
                <c:pt idx="146">
                  <c:v>43396</c:v>
                </c:pt>
                <c:pt idx="147">
                  <c:v>43440</c:v>
                </c:pt>
                <c:pt idx="148">
                  <c:v>43488</c:v>
                </c:pt>
                <c:pt idx="149">
                  <c:v>43531</c:v>
                </c:pt>
                <c:pt idx="150">
                  <c:v>43572</c:v>
                </c:pt>
                <c:pt idx="151">
                  <c:v>43622</c:v>
                </c:pt>
                <c:pt idx="152">
                  <c:v>43663</c:v>
                </c:pt>
                <c:pt idx="153">
                  <c:v>43727</c:v>
                </c:pt>
                <c:pt idx="154">
                  <c:v>43761</c:v>
                </c:pt>
                <c:pt idx="155">
                  <c:v>43809</c:v>
                </c:pt>
                <c:pt idx="156">
                  <c:v>43815</c:v>
                </c:pt>
                <c:pt idx="157">
                  <c:v>43853</c:v>
                </c:pt>
                <c:pt idx="158">
                  <c:v>43915</c:v>
                </c:pt>
              </c:numCache>
            </c:numRef>
          </c:cat>
          <c:val>
            <c:numRef>
              <c:f>'DEP NWF data all plots '!$B$42:$B$200</c:f>
              <c:numCache>
                <c:formatCode>0.00</c:formatCode>
                <c:ptCount val="159"/>
                <c:pt idx="0">
                  <c:v>1</c:v>
                </c:pt>
                <c:pt idx="1">
                  <c:v>0.93</c:v>
                </c:pt>
                <c:pt idx="2">
                  <c:v>0.68</c:v>
                </c:pt>
                <c:pt idx="3">
                  <c:v>0.73</c:v>
                </c:pt>
                <c:pt idx="4">
                  <c:v>0.71</c:v>
                </c:pt>
                <c:pt idx="5">
                  <c:v>0.62</c:v>
                </c:pt>
                <c:pt idx="6">
                  <c:v>0.71</c:v>
                </c:pt>
                <c:pt idx="7">
                  <c:v>0.83</c:v>
                </c:pt>
                <c:pt idx="8">
                  <c:v>0.78</c:v>
                </c:pt>
                <c:pt idx="9">
                  <c:v>0.68</c:v>
                </c:pt>
                <c:pt idx="10">
                  <c:v>0.72</c:v>
                </c:pt>
                <c:pt idx="11">
                  <c:v>0.66</c:v>
                </c:pt>
                <c:pt idx="12">
                  <c:v>0.55000000000000004</c:v>
                </c:pt>
                <c:pt idx="13">
                  <c:v>0.56000000000000005</c:v>
                </c:pt>
                <c:pt idx="14">
                  <c:v>0.69</c:v>
                </c:pt>
                <c:pt idx="15">
                  <c:v>0.65</c:v>
                </c:pt>
                <c:pt idx="16">
                  <c:v>0.87</c:v>
                </c:pt>
                <c:pt idx="17">
                  <c:v>0.7</c:v>
                </c:pt>
                <c:pt idx="18">
                  <c:v>0.59</c:v>
                </c:pt>
                <c:pt idx="19">
                  <c:v>0.61</c:v>
                </c:pt>
                <c:pt idx="20">
                  <c:v>0.67</c:v>
                </c:pt>
                <c:pt idx="21">
                  <c:v>0.67</c:v>
                </c:pt>
                <c:pt idx="22">
                  <c:v>0.62</c:v>
                </c:pt>
                <c:pt idx="23">
                  <c:v>0.78</c:v>
                </c:pt>
                <c:pt idx="24">
                  <c:v>0.76</c:v>
                </c:pt>
                <c:pt idx="25">
                  <c:v>0.84</c:v>
                </c:pt>
                <c:pt idx="26">
                  <c:v>0.72</c:v>
                </c:pt>
                <c:pt idx="27">
                  <c:v>0.76</c:v>
                </c:pt>
                <c:pt idx="28">
                  <c:v>0.7</c:v>
                </c:pt>
                <c:pt idx="29">
                  <c:v>0.51</c:v>
                </c:pt>
                <c:pt idx="30">
                  <c:v>0.51</c:v>
                </c:pt>
                <c:pt idx="31">
                  <c:v>0.78</c:v>
                </c:pt>
                <c:pt idx="32" formatCode="General">
                  <c:v>0.54</c:v>
                </c:pt>
                <c:pt idx="33">
                  <c:v>0.57999999999999996</c:v>
                </c:pt>
                <c:pt idx="35">
                  <c:v>0.78</c:v>
                </c:pt>
                <c:pt idx="36">
                  <c:v>0.66</c:v>
                </c:pt>
                <c:pt idx="37">
                  <c:v>0.84</c:v>
                </c:pt>
                <c:pt idx="38">
                  <c:v>0.51</c:v>
                </c:pt>
                <c:pt idx="39">
                  <c:v>0.49</c:v>
                </c:pt>
                <c:pt idx="40">
                  <c:v>0.51</c:v>
                </c:pt>
                <c:pt idx="41">
                  <c:v>0.51</c:v>
                </c:pt>
                <c:pt idx="42">
                  <c:v>0.5</c:v>
                </c:pt>
                <c:pt idx="43">
                  <c:v>0.6</c:v>
                </c:pt>
                <c:pt idx="44">
                  <c:v>0.68</c:v>
                </c:pt>
                <c:pt idx="45">
                  <c:v>0.8</c:v>
                </c:pt>
                <c:pt idx="46">
                  <c:v>0.69</c:v>
                </c:pt>
                <c:pt idx="47">
                  <c:v>0.53</c:v>
                </c:pt>
                <c:pt idx="48">
                  <c:v>0.51</c:v>
                </c:pt>
                <c:pt idx="49">
                  <c:v>0.47</c:v>
                </c:pt>
                <c:pt idx="50">
                  <c:v>0.49</c:v>
                </c:pt>
                <c:pt idx="51">
                  <c:v>0.52</c:v>
                </c:pt>
                <c:pt idx="52">
                  <c:v>0.55000000000000004</c:v>
                </c:pt>
                <c:pt idx="53">
                  <c:v>0.5</c:v>
                </c:pt>
                <c:pt idx="54">
                  <c:v>0.6</c:v>
                </c:pt>
                <c:pt idx="55">
                  <c:v>0.7</c:v>
                </c:pt>
                <c:pt idx="56">
                  <c:v>0.82</c:v>
                </c:pt>
                <c:pt idx="57">
                  <c:v>0.53</c:v>
                </c:pt>
                <c:pt idx="58">
                  <c:v>0.51</c:v>
                </c:pt>
                <c:pt idx="59">
                  <c:v>0.46</c:v>
                </c:pt>
                <c:pt idx="60">
                  <c:v>0.74</c:v>
                </c:pt>
                <c:pt idx="61">
                  <c:v>0.68</c:v>
                </c:pt>
                <c:pt idx="62">
                  <c:v>0.79</c:v>
                </c:pt>
                <c:pt idx="63">
                  <c:v>0.7</c:v>
                </c:pt>
                <c:pt idx="64">
                  <c:v>0.5</c:v>
                </c:pt>
                <c:pt idx="65">
                  <c:v>0.48</c:v>
                </c:pt>
                <c:pt idx="66">
                  <c:v>0.55000000000000004</c:v>
                </c:pt>
                <c:pt idx="67">
                  <c:v>0.7</c:v>
                </c:pt>
                <c:pt idx="68">
                  <c:v>0.76</c:v>
                </c:pt>
                <c:pt idx="69">
                  <c:v>0.6</c:v>
                </c:pt>
                <c:pt idx="70">
                  <c:v>0.45</c:v>
                </c:pt>
                <c:pt idx="71">
                  <c:v>0.45</c:v>
                </c:pt>
                <c:pt idx="72">
                  <c:v>0.56000000000000005</c:v>
                </c:pt>
                <c:pt idx="73">
                  <c:v>0.59</c:v>
                </c:pt>
                <c:pt idx="74">
                  <c:v>0.54</c:v>
                </c:pt>
                <c:pt idx="75">
                  <c:v>0.57999999999999996</c:v>
                </c:pt>
                <c:pt idx="76">
                  <c:v>0.53</c:v>
                </c:pt>
                <c:pt idx="77">
                  <c:v>0.73</c:v>
                </c:pt>
                <c:pt idx="78">
                  <c:v>0.74</c:v>
                </c:pt>
                <c:pt idx="79">
                  <c:v>0.57999999999999996</c:v>
                </c:pt>
                <c:pt idx="80">
                  <c:v>0.55000000000000004</c:v>
                </c:pt>
                <c:pt idx="81">
                  <c:v>0.57999999999999996</c:v>
                </c:pt>
                <c:pt idx="82">
                  <c:v>0.47</c:v>
                </c:pt>
                <c:pt idx="83">
                  <c:v>0.45</c:v>
                </c:pt>
                <c:pt idx="84">
                  <c:v>0.71</c:v>
                </c:pt>
                <c:pt idx="85">
                  <c:v>0.72</c:v>
                </c:pt>
                <c:pt idx="86">
                  <c:v>0.51</c:v>
                </c:pt>
                <c:pt idx="87">
                  <c:v>0.53</c:v>
                </c:pt>
                <c:pt idx="88">
                  <c:v>0.46</c:v>
                </c:pt>
                <c:pt idx="89">
                  <c:v>0.45</c:v>
                </c:pt>
                <c:pt idx="90">
                  <c:v>0.46</c:v>
                </c:pt>
                <c:pt idx="91">
                  <c:v>0.44</c:v>
                </c:pt>
                <c:pt idx="92">
                  <c:v>0.69</c:v>
                </c:pt>
                <c:pt idx="93">
                  <c:v>0.62</c:v>
                </c:pt>
                <c:pt idx="94">
                  <c:v>0.53</c:v>
                </c:pt>
                <c:pt idx="95">
                  <c:v>0.36</c:v>
                </c:pt>
                <c:pt idx="96">
                  <c:v>0.45</c:v>
                </c:pt>
                <c:pt idx="97">
                  <c:v>0.49</c:v>
                </c:pt>
                <c:pt idx="98">
                  <c:v>0.5</c:v>
                </c:pt>
                <c:pt idx="99">
                  <c:v>0.52</c:v>
                </c:pt>
                <c:pt idx="100">
                  <c:v>0.47</c:v>
                </c:pt>
                <c:pt idx="101">
                  <c:v>0.56999999999999995</c:v>
                </c:pt>
                <c:pt idx="102">
                  <c:v>0.42</c:v>
                </c:pt>
                <c:pt idx="103">
                  <c:v>0.4</c:v>
                </c:pt>
                <c:pt idx="104">
                  <c:v>0.43</c:v>
                </c:pt>
                <c:pt idx="105">
                  <c:v>0.49</c:v>
                </c:pt>
                <c:pt idx="106">
                  <c:v>0.63</c:v>
                </c:pt>
                <c:pt idx="107">
                  <c:v>0.44</c:v>
                </c:pt>
                <c:pt idx="108">
                  <c:v>0.38</c:v>
                </c:pt>
                <c:pt idx="109">
                  <c:v>0.47</c:v>
                </c:pt>
                <c:pt idx="110">
                  <c:v>0.45</c:v>
                </c:pt>
                <c:pt idx="111">
                  <c:v>0.47</c:v>
                </c:pt>
                <c:pt idx="112">
                  <c:v>0.35</c:v>
                </c:pt>
                <c:pt idx="113">
                  <c:v>0.34</c:v>
                </c:pt>
                <c:pt idx="114">
                  <c:v>0.5</c:v>
                </c:pt>
                <c:pt idx="115">
                  <c:v>0.4</c:v>
                </c:pt>
                <c:pt idx="116">
                  <c:v>0.36</c:v>
                </c:pt>
                <c:pt idx="117">
                  <c:v>0.33</c:v>
                </c:pt>
                <c:pt idx="118">
                  <c:v>0.37</c:v>
                </c:pt>
                <c:pt idx="119">
                  <c:v>0.44</c:v>
                </c:pt>
                <c:pt idx="120">
                  <c:v>0.44</c:v>
                </c:pt>
                <c:pt idx="121">
                  <c:v>0.51</c:v>
                </c:pt>
                <c:pt idx="122">
                  <c:v>0.38</c:v>
                </c:pt>
                <c:pt idx="123">
                  <c:v>0.46</c:v>
                </c:pt>
                <c:pt idx="124">
                  <c:v>0.37</c:v>
                </c:pt>
                <c:pt idx="125">
                  <c:v>0.4</c:v>
                </c:pt>
                <c:pt idx="126">
                  <c:v>0.47</c:v>
                </c:pt>
                <c:pt idx="127" formatCode="General">
                  <c:v>0.47</c:v>
                </c:pt>
                <c:pt idx="128" formatCode="General">
                  <c:v>0.34</c:v>
                </c:pt>
                <c:pt idx="129">
                  <c:v>0.46</c:v>
                </c:pt>
                <c:pt idx="130">
                  <c:v>0.34</c:v>
                </c:pt>
                <c:pt idx="131">
                  <c:v>0.35</c:v>
                </c:pt>
                <c:pt idx="132">
                  <c:v>0.47</c:v>
                </c:pt>
                <c:pt idx="133" formatCode="General">
                  <c:v>0.5</c:v>
                </c:pt>
                <c:pt idx="134" formatCode="General">
                  <c:v>0.41</c:v>
                </c:pt>
                <c:pt idx="135" formatCode="General">
                  <c:v>0.4</c:v>
                </c:pt>
                <c:pt idx="136" formatCode="General">
                  <c:v>0.43</c:v>
                </c:pt>
                <c:pt idx="137" formatCode="General">
                  <c:v>0.42</c:v>
                </c:pt>
                <c:pt idx="138" formatCode="General">
                  <c:v>0.35</c:v>
                </c:pt>
                <c:pt idx="139" formatCode="General">
                  <c:v>0.36</c:v>
                </c:pt>
                <c:pt idx="140" formatCode="General">
                  <c:v>0.37</c:v>
                </c:pt>
                <c:pt idx="141">
                  <c:v>0.44700000000000001</c:v>
                </c:pt>
                <c:pt idx="142">
                  <c:v>0.49</c:v>
                </c:pt>
                <c:pt idx="143">
                  <c:v>0.44</c:v>
                </c:pt>
                <c:pt idx="144">
                  <c:v>0.46</c:v>
                </c:pt>
                <c:pt idx="145">
                  <c:v>0.41</c:v>
                </c:pt>
                <c:pt idx="146">
                  <c:v>0.46</c:v>
                </c:pt>
                <c:pt idx="147">
                  <c:v>0.34</c:v>
                </c:pt>
                <c:pt idx="148">
                  <c:v>0.4</c:v>
                </c:pt>
                <c:pt idx="149" formatCode="General">
                  <c:v>0.46</c:v>
                </c:pt>
                <c:pt idx="150" formatCode="General">
                  <c:v>0.47</c:v>
                </c:pt>
                <c:pt idx="151" formatCode="General">
                  <c:v>0.37</c:v>
                </c:pt>
                <c:pt idx="152" formatCode="General">
                  <c:v>0.42</c:v>
                </c:pt>
                <c:pt idx="153" formatCode="General">
                  <c:v>0.42</c:v>
                </c:pt>
                <c:pt idx="154" formatCode="General">
                  <c:v>0.35</c:v>
                </c:pt>
                <c:pt idx="156" formatCode="General">
                  <c:v>0.34</c:v>
                </c:pt>
                <c:pt idx="157" formatCode="General">
                  <c:v>0.37</c:v>
                </c:pt>
                <c:pt idx="158" formatCode="General">
                  <c:v>0.41</c:v>
                </c:pt>
              </c:numCache>
            </c:numRef>
          </c:val>
          <c:smooth val="0"/>
        </c:ser>
        <c:dLbls>
          <c:showLegendKey val="0"/>
          <c:showVal val="0"/>
          <c:showCatName val="0"/>
          <c:showSerName val="0"/>
          <c:showPercent val="0"/>
          <c:showBubbleSize val="0"/>
        </c:dLbls>
        <c:marker val="1"/>
        <c:smooth val="0"/>
        <c:axId val="62163968"/>
        <c:axId val="95786112"/>
      </c:lineChart>
      <c:dateAx>
        <c:axId val="62163968"/>
        <c:scaling>
          <c:orientation val="minMax"/>
        </c:scaling>
        <c:delete val="0"/>
        <c:axPos val="b"/>
        <c:title>
          <c:tx>
            <c:rich>
              <a:bodyPr/>
              <a:lstStyle/>
              <a:p>
                <a:pPr>
                  <a:defRPr/>
                </a:pPr>
                <a:r>
                  <a:rPr lang="en-US"/>
                  <a:t>Year</a:t>
                </a:r>
              </a:p>
            </c:rich>
          </c:tx>
          <c:overlay val="0"/>
        </c:title>
        <c:numFmt formatCode="yyyy" sourceLinked="0"/>
        <c:majorTickMark val="cross"/>
        <c:minorTickMark val="in"/>
        <c:tickLblPos val="nextTo"/>
        <c:crossAx val="95786112"/>
        <c:crosses val="autoZero"/>
        <c:auto val="1"/>
        <c:lblOffset val="100"/>
        <c:baseTimeUnit val="days"/>
      </c:dateAx>
      <c:valAx>
        <c:axId val="95786112"/>
        <c:scaling>
          <c:orientation val="minMax"/>
        </c:scaling>
        <c:delete val="0"/>
        <c:axPos val="l"/>
        <c:majorGridlines/>
        <c:title>
          <c:tx>
            <c:rich>
              <a:bodyPr/>
              <a:lstStyle/>
              <a:p>
                <a:pPr>
                  <a:defRPr/>
                </a:pPr>
                <a:r>
                  <a:rPr lang="en-US"/>
                  <a:t>mg/L</a:t>
                </a:r>
              </a:p>
            </c:rich>
          </c:tx>
          <c:overlay val="0"/>
        </c:title>
        <c:numFmt formatCode="0.00" sourceLinked="1"/>
        <c:majorTickMark val="none"/>
        <c:minorTickMark val="none"/>
        <c:tickLblPos val="nextTo"/>
        <c:crossAx val="62163968"/>
        <c:crossesAt val="37257"/>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Figure 3- Yearly Variation of N Concentrations in Discharge from Wakulla Springs Main Vent (mg/L).</a:t>
            </a:r>
          </a:p>
        </c:rich>
      </c:tx>
      <c:overlay val="0"/>
    </c:title>
    <c:autoTitleDeleted val="0"/>
    <c:plotArea>
      <c:layout/>
      <c:scatterChart>
        <c:scatterStyle val="smoothMarker"/>
        <c:varyColors val="0"/>
        <c:ser>
          <c:idx val="0"/>
          <c:order val="0"/>
          <c:spPr>
            <a:ln w="19050">
              <a:solidFill>
                <a:schemeClr val="accent2"/>
              </a:solidFill>
            </a:ln>
          </c:spPr>
          <c:marker>
            <c:symbol val="dash"/>
            <c:size val="7"/>
            <c:spPr>
              <a:solidFill>
                <a:schemeClr val="tx1"/>
              </a:solidFill>
              <a:ln>
                <a:solidFill>
                  <a:schemeClr val="tx1"/>
                </a:solidFill>
              </a:ln>
            </c:spPr>
          </c:marker>
          <c:xVal>
            <c:numRef>
              <c:f>'annual max_min plot'!$D$1:$D$58</c:f>
              <c:numCache>
                <c:formatCode>General</c:formatCode>
                <c:ptCount val="58"/>
                <c:pt idx="0">
                  <c:v>2002</c:v>
                </c:pt>
                <c:pt idx="1">
                  <c:v>2002</c:v>
                </c:pt>
                <c:pt idx="3">
                  <c:v>2003</c:v>
                </c:pt>
                <c:pt idx="4">
                  <c:v>2003</c:v>
                </c:pt>
                <c:pt idx="6">
                  <c:v>2004</c:v>
                </c:pt>
                <c:pt idx="7">
                  <c:v>2004</c:v>
                </c:pt>
                <c:pt idx="9">
                  <c:v>2005</c:v>
                </c:pt>
                <c:pt idx="10">
                  <c:v>2005</c:v>
                </c:pt>
                <c:pt idx="12">
                  <c:v>2006</c:v>
                </c:pt>
                <c:pt idx="13">
                  <c:v>2006</c:v>
                </c:pt>
                <c:pt idx="15">
                  <c:v>2007</c:v>
                </c:pt>
                <c:pt idx="16">
                  <c:v>2007</c:v>
                </c:pt>
                <c:pt idx="18">
                  <c:v>2008</c:v>
                </c:pt>
                <c:pt idx="19">
                  <c:v>2008</c:v>
                </c:pt>
                <c:pt idx="21">
                  <c:v>2009</c:v>
                </c:pt>
                <c:pt idx="22">
                  <c:v>2009</c:v>
                </c:pt>
                <c:pt idx="24">
                  <c:v>2010</c:v>
                </c:pt>
                <c:pt idx="25">
                  <c:v>2010</c:v>
                </c:pt>
                <c:pt idx="27">
                  <c:v>2011</c:v>
                </c:pt>
                <c:pt idx="28">
                  <c:v>2011</c:v>
                </c:pt>
                <c:pt idx="31">
                  <c:v>2012</c:v>
                </c:pt>
                <c:pt idx="32">
                  <c:v>2012</c:v>
                </c:pt>
                <c:pt idx="35">
                  <c:v>2013</c:v>
                </c:pt>
                <c:pt idx="36">
                  <c:v>2013</c:v>
                </c:pt>
                <c:pt idx="39">
                  <c:v>2014</c:v>
                </c:pt>
                <c:pt idx="40">
                  <c:v>2014</c:v>
                </c:pt>
                <c:pt idx="43">
                  <c:v>2015</c:v>
                </c:pt>
                <c:pt idx="44">
                  <c:v>2015</c:v>
                </c:pt>
                <c:pt idx="47">
                  <c:v>2016</c:v>
                </c:pt>
                <c:pt idx="48">
                  <c:v>2016</c:v>
                </c:pt>
                <c:pt idx="50">
                  <c:v>2017</c:v>
                </c:pt>
                <c:pt idx="51">
                  <c:v>2017</c:v>
                </c:pt>
                <c:pt idx="53">
                  <c:v>2018</c:v>
                </c:pt>
                <c:pt idx="54">
                  <c:v>2018</c:v>
                </c:pt>
                <c:pt idx="56">
                  <c:v>2019</c:v>
                </c:pt>
                <c:pt idx="57">
                  <c:v>2019</c:v>
                </c:pt>
              </c:numCache>
            </c:numRef>
          </c:xVal>
          <c:yVal>
            <c:numRef>
              <c:f>'annual max_min plot'!$E$1:$E$58</c:f>
              <c:numCache>
                <c:formatCode>General</c:formatCode>
                <c:ptCount val="58"/>
                <c:pt idx="0">
                  <c:v>1</c:v>
                </c:pt>
                <c:pt idx="1">
                  <c:v>0.68</c:v>
                </c:pt>
                <c:pt idx="3">
                  <c:v>0.83</c:v>
                </c:pt>
                <c:pt idx="4">
                  <c:v>0.62</c:v>
                </c:pt>
                <c:pt idx="6">
                  <c:v>0.87</c:v>
                </c:pt>
                <c:pt idx="7">
                  <c:v>0.55000000000000004</c:v>
                </c:pt>
                <c:pt idx="9">
                  <c:v>0.84</c:v>
                </c:pt>
                <c:pt idx="10">
                  <c:v>0.51</c:v>
                </c:pt>
                <c:pt idx="12">
                  <c:v>0.84</c:v>
                </c:pt>
                <c:pt idx="13">
                  <c:v>0.49</c:v>
                </c:pt>
                <c:pt idx="15">
                  <c:v>0.8</c:v>
                </c:pt>
                <c:pt idx="16">
                  <c:v>0.47</c:v>
                </c:pt>
                <c:pt idx="18">
                  <c:v>0.82</c:v>
                </c:pt>
                <c:pt idx="19">
                  <c:v>0.46</c:v>
                </c:pt>
                <c:pt idx="21">
                  <c:v>0.79</c:v>
                </c:pt>
                <c:pt idx="22">
                  <c:v>0.45</c:v>
                </c:pt>
                <c:pt idx="24">
                  <c:v>0.74</c:v>
                </c:pt>
                <c:pt idx="25">
                  <c:v>0.47</c:v>
                </c:pt>
                <c:pt idx="27">
                  <c:v>0.72</c:v>
                </c:pt>
                <c:pt idx="28">
                  <c:v>0.45</c:v>
                </c:pt>
                <c:pt idx="31">
                  <c:v>0.69</c:v>
                </c:pt>
                <c:pt idx="32">
                  <c:v>0.36</c:v>
                </c:pt>
                <c:pt idx="35">
                  <c:v>0.63</c:v>
                </c:pt>
                <c:pt idx="36">
                  <c:v>0.38</c:v>
                </c:pt>
                <c:pt idx="39">
                  <c:v>0.5</c:v>
                </c:pt>
                <c:pt idx="40">
                  <c:v>0.33</c:v>
                </c:pt>
                <c:pt idx="43">
                  <c:v>0.51</c:v>
                </c:pt>
                <c:pt idx="44">
                  <c:v>0.37</c:v>
                </c:pt>
                <c:pt idx="47">
                  <c:v>0.47</c:v>
                </c:pt>
                <c:pt idx="48">
                  <c:v>0.34</c:v>
                </c:pt>
                <c:pt idx="50">
                  <c:v>0.5</c:v>
                </c:pt>
                <c:pt idx="51">
                  <c:v>0.35</c:v>
                </c:pt>
                <c:pt idx="53">
                  <c:v>0.49</c:v>
                </c:pt>
                <c:pt idx="54">
                  <c:v>0.34</c:v>
                </c:pt>
                <c:pt idx="56">
                  <c:v>0.47</c:v>
                </c:pt>
                <c:pt idx="57">
                  <c:v>0.34</c:v>
                </c:pt>
              </c:numCache>
            </c:numRef>
          </c:yVal>
          <c:smooth val="0"/>
        </c:ser>
        <c:dLbls>
          <c:showLegendKey val="0"/>
          <c:showVal val="0"/>
          <c:showCatName val="0"/>
          <c:showSerName val="0"/>
          <c:showPercent val="0"/>
          <c:showBubbleSize val="0"/>
        </c:dLbls>
        <c:axId val="129995520"/>
        <c:axId val="129997824"/>
      </c:scatterChart>
      <c:valAx>
        <c:axId val="129995520"/>
        <c:scaling>
          <c:orientation val="minMax"/>
        </c:scaling>
        <c:delete val="0"/>
        <c:axPos val="b"/>
        <c:title>
          <c:tx>
            <c:rich>
              <a:bodyPr/>
              <a:lstStyle/>
              <a:p>
                <a:pPr>
                  <a:defRPr/>
                </a:pPr>
                <a:r>
                  <a:rPr lang="en-US"/>
                  <a:t>Year</a:t>
                </a:r>
              </a:p>
            </c:rich>
          </c:tx>
          <c:overlay val="0"/>
        </c:title>
        <c:numFmt formatCode="General" sourceLinked="0"/>
        <c:majorTickMark val="out"/>
        <c:minorTickMark val="none"/>
        <c:tickLblPos val="nextTo"/>
        <c:txPr>
          <a:bodyPr rot="-2700000"/>
          <a:lstStyle/>
          <a:p>
            <a:pPr>
              <a:defRPr/>
            </a:pPr>
            <a:endParaRPr lang="en-US"/>
          </a:p>
        </c:txPr>
        <c:crossAx val="129997824"/>
        <c:crosses val="autoZero"/>
        <c:crossBetween val="midCat"/>
        <c:majorUnit val="1"/>
      </c:valAx>
      <c:valAx>
        <c:axId val="129997824"/>
        <c:scaling>
          <c:orientation val="minMax"/>
        </c:scaling>
        <c:delete val="0"/>
        <c:axPos val="l"/>
        <c:majorGridlines/>
        <c:title>
          <c:tx>
            <c:rich>
              <a:bodyPr rot="-5400000" vert="horz"/>
              <a:lstStyle/>
              <a:p>
                <a:pPr>
                  <a:defRPr/>
                </a:pPr>
                <a:r>
                  <a:rPr lang="en-US"/>
                  <a:t>N in mg/L</a:t>
                </a:r>
              </a:p>
            </c:rich>
          </c:tx>
          <c:overlay val="0"/>
        </c:title>
        <c:numFmt formatCode="General" sourceLinked="1"/>
        <c:majorTickMark val="out"/>
        <c:minorTickMark val="none"/>
        <c:tickLblPos val="nextTo"/>
        <c:crossAx val="12999552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837</TotalTime>
  <Pages>4</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61</cp:revision>
  <cp:lastPrinted>2020-07-03T15:09:00Z</cp:lastPrinted>
  <dcterms:created xsi:type="dcterms:W3CDTF">2020-06-03T20:27:00Z</dcterms:created>
  <dcterms:modified xsi:type="dcterms:W3CDTF">2020-07-06T15:48:00Z</dcterms:modified>
</cp:coreProperties>
</file>